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B6CD0" w14:textId="4FBC8D3F" w:rsidR="001D1143" w:rsidRPr="00B80772" w:rsidRDefault="001D1143" w:rsidP="00545C99">
      <w:pPr>
        <w:spacing w:before="120"/>
        <w:jc w:val="center"/>
        <w:rPr>
          <w:sz w:val="36"/>
          <w:u w:val="double"/>
        </w:rPr>
      </w:pPr>
      <w:r w:rsidRPr="00B80772">
        <w:rPr>
          <w:b/>
          <w:sz w:val="36"/>
          <w:u w:val="double"/>
        </w:rPr>
        <w:t>Breakout session discussion guidance</w:t>
      </w:r>
    </w:p>
    <w:p w14:paraId="0356E573" w14:textId="471151C0" w:rsidR="00026E91" w:rsidRPr="00610BF4" w:rsidRDefault="00C934AD" w:rsidP="00525146">
      <w:pPr>
        <w:spacing w:before="360" w:after="120" w:line="288" w:lineRule="auto"/>
        <w:jc w:val="both"/>
        <w:rPr>
          <w:sz w:val="22"/>
        </w:rPr>
      </w:pPr>
      <w:r w:rsidRPr="00610BF4">
        <w:rPr>
          <w:sz w:val="22"/>
        </w:rPr>
        <w:t xml:space="preserve">The </w:t>
      </w:r>
      <w:r w:rsidR="000D2937" w:rsidRPr="00610BF4">
        <w:rPr>
          <w:sz w:val="22"/>
        </w:rPr>
        <w:t>aim</w:t>
      </w:r>
      <w:r w:rsidRPr="00610BF4">
        <w:rPr>
          <w:sz w:val="22"/>
        </w:rPr>
        <w:t xml:space="preserve"> of the breakout sessions is to discuss and possibly conclude on topics </w:t>
      </w:r>
      <w:bookmarkStart w:id="0" w:name="_GoBack"/>
      <w:bookmarkEnd w:id="0"/>
      <w:r w:rsidRPr="00610BF4">
        <w:rPr>
          <w:sz w:val="22"/>
        </w:rPr>
        <w:t>and elements for a</w:t>
      </w:r>
      <w:r w:rsidR="00446DBE" w:rsidRPr="00610BF4">
        <w:rPr>
          <w:sz w:val="22"/>
        </w:rPr>
        <w:t xml:space="preserve"> pragmatic</w:t>
      </w:r>
      <w:r w:rsidRPr="00610BF4">
        <w:rPr>
          <w:sz w:val="22"/>
        </w:rPr>
        <w:t xml:space="preserve"> guidance document </w:t>
      </w:r>
      <w:r w:rsidR="000D2937" w:rsidRPr="00610BF4">
        <w:rPr>
          <w:sz w:val="22"/>
        </w:rPr>
        <w:t xml:space="preserve">on </w:t>
      </w:r>
      <w:r w:rsidRPr="00610BF4">
        <w:rPr>
          <w:sz w:val="22"/>
        </w:rPr>
        <w:t xml:space="preserve">NAM-enhanced </w:t>
      </w:r>
      <w:r w:rsidR="00744506" w:rsidRPr="00610BF4">
        <w:rPr>
          <w:sz w:val="22"/>
        </w:rPr>
        <w:t>read across (</w:t>
      </w:r>
      <w:r w:rsidRPr="00610BF4">
        <w:rPr>
          <w:sz w:val="22"/>
        </w:rPr>
        <w:t>RAX</w:t>
      </w:r>
      <w:r w:rsidR="00744506" w:rsidRPr="00610BF4">
        <w:rPr>
          <w:sz w:val="22"/>
        </w:rPr>
        <w:t>)</w:t>
      </w:r>
      <w:r w:rsidR="000D2937" w:rsidRPr="00610BF4">
        <w:rPr>
          <w:sz w:val="22"/>
        </w:rPr>
        <w:t>,</w:t>
      </w:r>
      <w:r w:rsidR="00D03E84" w:rsidRPr="00610BF4">
        <w:rPr>
          <w:sz w:val="22"/>
        </w:rPr>
        <w:t xml:space="preserve"> including identifying</w:t>
      </w:r>
      <w:r w:rsidR="000D2937" w:rsidRPr="00610BF4">
        <w:rPr>
          <w:sz w:val="22"/>
        </w:rPr>
        <w:t xml:space="preserve"> and filling</w:t>
      </w:r>
      <w:r w:rsidR="00D03E84" w:rsidRPr="00610BF4">
        <w:rPr>
          <w:sz w:val="22"/>
        </w:rPr>
        <w:t xml:space="preserve"> knowledge gaps</w:t>
      </w:r>
      <w:r w:rsidRPr="00610BF4">
        <w:rPr>
          <w:sz w:val="22"/>
        </w:rPr>
        <w:t xml:space="preserve">. </w:t>
      </w:r>
      <w:r w:rsidR="00D03E84" w:rsidRPr="00610BF4">
        <w:rPr>
          <w:sz w:val="22"/>
        </w:rPr>
        <w:t xml:space="preserve">The discussion should map out </w:t>
      </w:r>
      <w:r w:rsidR="007E249B" w:rsidRPr="00610BF4">
        <w:rPr>
          <w:sz w:val="22"/>
        </w:rPr>
        <w:t>conditions (</w:t>
      </w:r>
      <w:r w:rsidR="009F2472" w:rsidRPr="00610BF4">
        <w:rPr>
          <w:sz w:val="22"/>
        </w:rPr>
        <w:t>circumstances/areas/proble</w:t>
      </w:r>
      <w:r w:rsidR="00026E91" w:rsidRPr="00610BF4">
        <w:rPr>
          <w:sz w:val="22"/>
        </w:rPr>
        <w:t>m formulations</w:t>
      </w:r>
      <w:r w:rsidR="007E249B" w:rsidRPr="00610BF4">
        <w:rPr>
          <w:sz w:val="22"/>
        </w:rPr>
        <w:t>)</w:t>
      </w:r>
      <w:r w:rsidR="00026E91" w:rsidRPr="00610BF4">
        <w:rPr>
          <w:sz w:val="22"/>
        </w:rPr>
        <w:t xml:space="preserve"> </w:t>
      </w:r>
      <w:r w:rsidR="00D03E84" w:rsidRPr="00610BF4">
        <w:rPr>
          <w:sz w:val="22"/>
        </w:rPr>
        <w:t xml:space="preserve">where NAM-enhanced </w:t>
      </w:r>
      <w:r w:rsidR="00026E91" w:rsidRPr="00610BF4">
        <w:rPr>
          <w:sz w:val="22"/>
        </w:rPr>
        <w:t>RAX is acceptable and</w:t>
      </w:r>
      <w:r w:rsidR="00446DBE" w:rsidRPr="00610BF4">
        <w:rPr>
          <w:sz w:val="22"/>
        </w:rPr>
        <w:t xml:space="preserve"> argue</w:t>
      </w:r>
      <w:r w:rsidR="00026E91" w:rsidRPr="00610BF4">
        <w:rPr>
          <w:sz w:val="22"/>
        </w:rPr>
        <w:t xml:space="preserve"> why</w:t>
      </w:r>
      <w:r w:rsidR="00446DBE" w:rsidRPr="00610BF4">
        <w:rPr>
          <w:sz w:val="22"/>
        </w:rPr>
        <w:t>.</w:t>
      </w:r>
    </w:p>
    <w:p w14:paraId="582E4648" w14:textId="77777777" w:rsidR="00950A1B" w:rsidRPr="00950A1B" w:rsidRDefault="00950A1B" w:rsidP="00B36614">
      <w:pPr>
        <w:shd w:val="clear" w:color="auto" w:fill="F7CAAC" w:themeFill="accent2" w:themeFillTint="66"/>
        <w:spacing w:before="360"/>
        <w:jc w:val="both"/>
        <w:rPr>
          <w:b/>
          <w:sz w:val="6"/>
          <w:szCs w:val="12"/>
        </w:rPr>
      </w:pPr>
    </w:p>
    <w:p w14:paraId="075F336D" w14:textId="000BC1D6" w:rsidR="00C934AD" w:rsidRDefault="00B80F23" w:rsidP="00B36614">
      <w:pPr>
        <w:shd w:val="clear" w:color="auto" w:fill="F7CAAC" w:themeFill="accent2" w:themeFillTint="66"/>
        <w:jc w:val="both"/>
        <w:rPr>
          <w:b/>
          <w:sz w:val="28"/>
        </w:rPr>
      </w:pPr>
      <w:r w:rsidRPr="00610BF4">
        <w:rPr>
          <w:b/>
          <w:sz w:val="28"/>
        </w:rPr>
        <w:t xml:space="preserve">GENERAL DISCUSSION TOPICS </w:t>
      </w:r>
      <w:r w:rsidR="00446DBE" w:rsidRPr="00610BF4">
        <w:rPr>
          <w:b/>
          <w:sz w:val="28"/>
        </w:rPr>
        <w:t>(all case studies</w:t>
      </w:r>
      <w:r w:rsidR="00365458" w:rsidRPr="00610BF4">
        <w:rPr>
          <w:b/>
          <w:sz w:val="28"/>
        </w:rPr>
        <w:t>)</w:t>
      </w:r>
    </w:p>
    <w:p w14:paraId="72282EF1" w14:textId="77777777" w:rsidR="00950A1B" w:rsidRPr="00950A1B" w:rsidRDefault="00950A1B" w:rsidP="00B36614">
      <w:pPr>
        <w:shd w:val="clear" w:color="auto" w:fill="F7CAAC" w:themeFill="accent2" w:themeFillTint="66"/>
        <w:jc w:val="both"/>
        <w:rPr>
          <w:b/>
          <w:sz w:val="6"/>
          <w:szCs w:val="12"/>
        </w:rPr>
      </w:pPr>
    </w:p>
    <w:p w14:paraId="6D7A3A15" w14:textId="22ED4950" w:rsidR="008D5EAE" w:rsidRPr="004D67A9" w:rsidRDefault="008D5EAE" w:rsidP="009A3736">
      <w:pPr>
        <w:spacing w:before="240" w:after="120" w:line="288" w:lineRule="auto"/>
        <w:jc w:val="both"/>
        <w:rPr>
          <w:sz w:val="22"/>
        </w:rPr>
      </w:pPr>
      <w:r w:rsidRPr="004D67A9">
        <w:rPr>
          <w:sz w:val="22"/>
        </w:rPr>
        <w:t>Please</w:t>
      </w:r>
      <w:r w:rsidR="00365458" w:rsidRPr="004D67A9">
        <w:rPr>
          <w:sz w:val="22"/>
        </w:rPr>
        <w:t xml:space="preserve"> consider</w:t>
      </w:r>
      <w:r w:rsidR="00AD2767" w:rsidRPr="004D67A9">
        <w:rPr>
          <w:sz w:val="22"/>
        </w:rPr>
        <w:t xml:space="preserve"> the below described circumstances/areas/problem formulations </w:t>
      </w:r>
      <w:r w:rsidRPr="004D67A9">
        <w:rPr>
          <w:sz w:val="22"/>
        </w:rPr>
        <w:t>two general possible scenarios</w:t>
      </w:r>
      <w:r w:rsidR="00DD28CD" w:rsidRPr="004D67A9">
        <w:rPr>
          <w:sz w:val="22"/>
        </w:rPr>
        <w:t xml:space="preserve"> may exist</w:t>
      </w:r>
      <w:r w:rsidRPr="004D67A9">
        <w:rPr>
          <w:sz w:val="22"/>
        </w:rPr>
        <w:t>:</w:t>
      </w:r>
    </w:p>
    <w:p w14:paraId="051326D4" w14:textId="55BB8B6F" w:rsidR="008D5EAE" w:rsidRPr="004D67A9" w:rsidRDefault="008D5EAE" w:rsidP="00F1649D">
      <w:pPr>
        <w:spacing w:after="120" w:line="288" w:lineRule="auto"/>
        <w:jc w:val="both"/>
        <w:rPr>
          <w:sz w:val="22"/>
        </w:rPr>
      </w:pPr>
      <w:r w:rsidRPr="004D67A9">
        <w:rPr>
          <w:b/>
          <w:sz w:val="22"/>
        </w:rPr>
        <w:t>Scenario 1:</w:t>
      </w:r>
      <w:r w:rsidRPr="004D67A9">
        <w:rPr>
          <w:sz w:val="22"/>
        </w:rPr>
        <w:t xml:space="preserve"> category approach- many to one prediction- </w:t>
      </w:r>
      <w:r w:rsidR="00DD28CD" w:rsidRPr="004D67A9">
        <w:rPr>
          <w:sz w:val="22"/>
        </w:rPr>
        <w:t xml:space="preserve">i.e. </w:t>
      </w:r>
      <w:r w:rsidRPr="004D67A9">
        <w:rPr>
          <w:sz w:val="22"/>
        </w:rPr>
        <w:t xml:space="preserve">many source compounds do set the basis </w:t>
      </w:r>
      <w:r w:rsidR="00DD28CD" w:rsidRPr="004D67A9">
        <w:rPr>
          <w:sz w:val="22"/>
        </w:rPr>
        <w:t>with</w:t>
      </w:r>
      <w:r w:rsidRPr="004D67A9">
        <w:rPr>
          <w:sz w:val="22"/>
        </w:rPr>
        <w:t xml:space="preserve"> in vivo endpoint data</w:t>
      </w:r>
      <w:r w:rsidR="00DD28CD" w:rsidRPr="004D67A9">
        <w:rPr>
          <w:sz w:val="22"/>
        </w:rPr>
        <w:t xml:space="preserve"> of acceptable quality</w:t>
      </w:r>
      <w:r w:rsidRPr="004D67A9">
        <w:rPr>
          <w:sz w:val="22"/>
        </w:rPr>
        <w:t>.</w:t>
      </w:r>
    </w:p>
    <w:p w14:paraId="37B019CD" w14:textId="415102E8" w:rsidR="007E249B" w:rsidRPr="004D67A9" w:rsidRDefault="008D5EAE" w:rsidP="00961FE9">
      <w:pPr>
        <w:spacing w:after="240" w:line="288" w:lineRule="auto"/>
        <w:jc w:val="both"/>
        <w:rPr>
          <w:sz w:val="22"/>
        </w:rPr>
      </w:pPr>
      <w:r w:rsidRPr="004D67A9">
        <w:rPr>
          <w:b/>
          <w:sz w:val="22"/>
        </w:rPr>
        <w:t>Scenario 2:</w:t>
      </w:r>
      <w:r w:rsidRPr="004D67A9">
        <w:rPr>
          <w:sz w:val="22"/>
        </w:rPr>
        <w:t xml:space="preserve"> analogue approach: one to </w:t>
      </w:r>
      <w:r w:rsidR="00DD28CD" w:rsidRPr="004D67A9">
        <w:rPr>
          <w:sz w:val="22"/>
        </w:rPr>
        <w:t>one</w:t>
      </w:r>
      <w:r w:rsidRPr="004D67A9">
        <w:rPr>
          <w:sz w:val="22"/>
        </w:rPr>
        <w:t xml:space="preserve"> - one source compounds has in vivo endpoint data</w:t>
      </w:r>
      <w:r w:rsidR="00DD28CD" w:rsidRPr="004D67A9">
        <w:rPr>
          <w:sz w:val="22"/>
        </w:rPr>
        <w:t xml:space="preserve"> of acceptable quality</w:t>
      </w:r>
      <w:r w:rsidRPr="004D67A9">
        <w:rPr>
          <w:sz w:val="22"/>
        </w:rPr>
        <w:t xml:space="preserve">. </w:t>
      </w:r>
    </w:p>
    <w:p w14:paraId="71A300CA" w14:textId="77777777" w:rsidR="00C736F4" w:rsidRPr="00C736F4" w:rsidRDefault="00C736F4" w:rsidP="00B36614">
      <w:pPr>
        <w:shd w:val="clear" w:color="auto" w:fill="FBE4D5" w:themeFill="accent2" w:themeFillTint="33"/>
        <w:tabs>
          <w:tab w:val="left" w:pos="360"/>
        </w:tabs>
        <w:ind w:left="360" w:hanging="360"/>
        <w:jc w:val="both"/>
        <w:rPr>
          <w:b/>
          <w:sz w:val="8"/>
          <w:szCs w:val="8"/>
        </w:rPr>
      </w:pPr>
    </w:p>
    <w:p w14:paraId="6A44A068" w14:textId="15623E18" w:rsidR="00991790" w:rsidRDefault="007E249B" w:rsidP="00B36614">
      <w:pPr>
        <w:shd w:val="clear" w:color="auto" w:fill="FBE4D5" w:themeFill="accent2" w:themeFillTint="33"/>
        <w:tabs>
          <w:tab w:val="left" w:pos="360"/>
        </w:tabs>
        <w:ind w:left="360" w:hanging="360"/>
        <w:jc w:val="both"/>
        <w:rPr>
          <w:b/>
        </w:rPr>
      </w:pPr>
      <w:r>
        <w:rPr>
          <w:b/>
        </w:rPr>
        <w:t xml:space="preserve">I. </w:t>
      </w:r>
      <w:r w:rsidRPr="006974BC">
        <w:rPr>
          <w:b/>
        </w:rPr>
        <w:tab/>
      </w:r>
      <w:r w:rsidR="00026E91" w:rsidRPr="00C0600B">
        <w:rPr>
          <w:b/>
        </w:rPr>
        <w:t xml:space="preserve">What </w:t>
      </w:r>
      <w:r w:rsidR="00744506" w:rsidRPr="00C0600B">
        <w:rPr>
          <w:b/>
        </w:rPr>
        <w:t xml:space="preserve">are </w:t>
      </w:r>
      <w:r w:rsidR="00D946C0" w:rsidRPr="00C0600B">
        <w:rPr>
          <w:b/>
        </w:rPr>
        <w:t xml:space="preserve">the </w:t>
      </w:r>
      <w:r w:rsidR="002654FE" w:rsidRPr="00C0600B">
        <w:rPr>
          <w:b/>
        </w:rPr>
        <w:t>generic</w:t>
      </w:r>
      <w:r w:rsidR="00744506" w:rsidRPr="00C0600B">
        <w:rPr>
          <w:b/>
        </w:rPr>
        <w:t xml:space="preserve"> </w:t>
      </w:r>
      <w:r w:rsidRPr="00C0600B">
        <w:rPr>
          <w:b/>
        </w:rPr>
        <w:t>requirement</w:t>
      </w:r>
      <w:r w:rsidR="00744506" w:rsidRPr="00C0600B">
        <w:rPr>
          <w:b/>
        </w:rPr>
        <w:t>s</w:t>
      </w:r>
      <w:r w:rsidR="00026E91" w:rsidRPr="00C0600B">
        <w:rPr>
          <w:b/>
        </w:rPr>
        <w:t xml:space="preserve"> </w:t>
      </w:r>
      <w:r w:rsidR="00744506" w:rsidRPr="00C0600B">
        <w:rPr>
          <w:b/>
        </w:rPr>
        <w:t>for</w:t>
      </w:r>
      <w:r w:rsidR="008B08D9" w:rsidRPr="00C0600B">
        <w:rPr>
          <w:b/>
        </w:rPr>
        <w:t xml:space="preserve"> a</w:t>
      </w:r>
      <w:r w:rsidR="00026E91" w:rsidRPr="00C0600B">
        <w:rPr>
          <w:b/>
        </w:rPr>
        <w:t xml:space="preserve"> NAM</w:t>
      </w:r>
      <w:r w:rsidR="008B08D9" w:rsidRPr="00C0600B">
        <w:rPr>
          <w:b/>
        </w:rPr>
        <w:t xml:space="preserve"> </w:t>
      </w:r>
      <w:r w:rsidR="00884C8E" w:rsidRPr="00C0600B">
        <w:rPr>
          <w:b/>
        </w:rPr>
        <w:t xml:space="preserve">assay/outcome </w:t>
      </w:r>
      <w:r w:rsidR="00744506" w:rsidRPr="00C0600B">
        <w:rPr>
          <w:b/>
        </w:rPr>
        <w:t xml:space="preserve">to </w:t>
      </w:r>
      <w:r w:rsidR="008B08D9" w:rsidRPr="00C0600B">
        <w:rPr>
          <w:b/>
        </w:rPr>
        <w:t>be accept</w:t>
      </w:r>
      <w:r w:rsidR="00744506" w:rsidRPr="00C0600B">
        <w:rPr>
          <w:b/>
        </w:rPr>
        <w:t>able</w:t>
      </w:r>
      <w:r w:rsidR="009F2472" w:rsidRPr="00C0600B">
        <w:rPr>
          <w:b/>
        </w:rPr>
        <w:t xml:space="preserve"> in </w:t>
      </w:r>
      <w:r w:rsidR="004A40E0" w:rsidRPr="00C0600B">
        <w:rPr>
          <w:b/>
        </w:rPr>
        <w:t xml:space="preserve">a </w:t>
      </w:r>
      <w:r w:rsidR="009F2472" w:rsidRPr="00C0600B">
        <w:rPr>
          <w:b/>
        </w:rPr>
        <w:t>RAX</w:t>
      </w:r>
      <w:r w:rsidR="004A40E0" w:rsidRPr="00C0600B">
        <w:rPr>
          <w:b/>
        </w:rPr>
        <w:t xml:space="preserve"> justification</w:t>
      </w:r>
      <w:r w:rsidR="00026E91" w:rsidRPr="00C0600B">
        <w:rPr>
          <w:b/>
        </w:rPr>
        <w:t>?</w:t>
      </w:r>
    </w:p>
    <w:p w14:paraId="74F4EA2B" w14:textId="77777777" w:rsidR="00C736F4" w:rsidRPr="00C736F4" w:rsidRDefault="00C736F4" w:rsidP="00B36614">
      <w:pPr>
        <w:shd w:val="clear" w:color="auto" w:fill="FBE4D5" w:themeFill="accent2" w:themeFillTint="33"/>
        <w:tabs>
          <w:tab w:val="left" w:pos="360"/>
        </w:tabs>
        <w:ind w:left="360" w:hanging="360"/>
        <w:jc w:val="both"/>
        <w:rPr>
          <w:b/>
          <w:sz w:val="8"/>
          <w:szCs w:val="8"/>
        </w:rPr>
      </w:pPr>
    </w:p>
    <w:p w14:paraId="65CA9E61" w14:textId="61C64D11" w:rsidR="00991790" w:rsidRPr="00F1649D" w:rsidRDefault="00E839C0" w:rsidP="001E11ED">
      <w:pPr>
        <w:spacing w:before="120" w:after="120" w:line="288" w:lineRule="auto"/>
        <w:jc w:val="both"/>
        <w:rPr>
          <w:sz w:val="22"/>
        </w:rPr>
      </w:pPr>
      <w:r w:rsidRPr="00F1649D">
        <w:rPr>
          <w:sz w:val="22"/>
        </w:rPr>
        <w:t>Given that validation approaches for NAM approaches are currently being developed in OECD are there t</w:t>
      </w:r>
      <w:r w:rsidR="00026E91" w:rsidRPr="00F1649D">
        <w:rPr>
          <w:sz w:val="22"/>
        </w:rPr>
        <w:t>opics to consider</w:t>
      </w:r>
      <w:r w:rsidR="00633F2D" w:rsidRPr="00F1649D">
        <w:rPr>
          <w:sz w:val="22"/>
        </w:rPr>
        <w:t xml:space="preserve"> </w:t>
      </w:r>
      <w:r w:rsidRPr="00F1649D">
        <w:rPr>
          <w:sz w:val="22"/>
        </w:rPr>
        <w:t>specifically in relation to NAM-</w:t>
      </w:r>
      <w:r w:rsidR="00633F2D" w:rsidRPr="00F1649D">
        <w:rPr>
          <w:sz w:val="22"/>
        </w:rPr>
        <w:t>supported RAX</w:t>
      </w:r>
      <w:r w:rsidRPr="00F1649D">
        <w:rPr>
          <w:sz w:val="22"/>
        </w:rPr>
        <w:t>, which are not already covered</w:t>
      </w:r>
      <w:r w:rsidR="00577442" w:rsidRPr="00F1649D">
        <w:rPr>
          <w:sz w:val="22"/>
        </w:rPr>
        <w:t>?</w:t>
      </w:r>
      <w:r w:rsidRPr="00F1649D">
        <w:rPr>
          <w:sz w:val="22"/>
        </w:rPr>
        <w:t xml:space="preserve"> </w:t>
      </w:r>
      <w:r w:rsidR="002654FE" w:rsidRPr="00F1649D">
        <w:rPr>
          <w:sz w:val="22"/>
        </w:rPr>
        <w:t xml:space="preserve">Are there </w:t>
      </w:r>
      <w:r w:rsidR="004239FC" w:rsidRPr="00F1649D">
        <w:rPr>
          <w:sz w:val="22"/>
        </w:rPr>
        <w:t>specific needs</w:t>
      </w:r>
      <w:r w:rsidR="002654FE" w:rsidRPr="00F1649D">
        <w:rPr>
          <w:sz w:val="22"/>
        </w:rPr>
        <w:t xml:space="preserve"> to make it possible for </w:t>
      </w:r>
      <w:r w:rsidRPr="00F1649D">
        <w:rPr>
          <w:sz w:val="22"/>
        </w:rPr>
        <w:t>the regulator to readily check the reliability of the data</w:t>
      </w:r>
      <w:r w:rsidR="002654FE" w:rsidRPr="00F1649D">
        <w:rPr>
          <w:sz w:val="22"/>
        </w:rPr>
        <w:t xml:space="preserve"> in terms of for example</w:t>
      </w:r>
      <w:r w:rsidR="004239FC" w:rsidRPr="00F1649D">
        <w:rPr>
          <w:sz w:val="22"/>
        </w:rPr>
        <w:t>;</w:t>
      </w:r>
    </w:p>
    <w:p w14:paraId="292ADEF5" w14:textId="74D319A1" w:rsidR="00991790" w:rsidRPr="00F1649D" w:rsidRDefault="002B5EF9" w:rsidP="00F1649D">
      <w:pPr>
        <w:pStyle w:val="ListParagraph"/>
        <w:numPr>
          <w:ilvl w:val="0"/>
          <w:numId w:val="3"/>
        </w:numPr>
        <w:spacing w:after="120" w:line="288" w:lineRule="auto"/>
        <w:ind w:left="1170" w:hanging="270"/>
        <w:contextualSpacing w:val="0"/>
        <w:jc w:val="both"/>
        <w:rPr>
          <w:sz w:val="22"/>
        </w:rPr>
      </w:pPr>
      <w:r w:rsidRPr="00F1649D">
        <w:rPr>
          <w:sz w:val="22"/>
        </w:rPr>
        <w:t xml:space="preserve">Documentation/transparency </w:t>
      </w:r>
      <w:r w:rsidR="00026E91" w:rsidRPr="00F1649D">
        <w:rPr>
          <w:sz w:val="22"/>
        </w:rPr>
        <w:t>of the NAM</w:t>
      </w:r>
      <w:r w:rsidR="00991790" w:rsidRPr="00F1649D">
        <w:rPr>
          <w:sz w:val="22"/>
        </w:rPr>
        <w:t xml:space="preserve"> </w:t>
      </w:r>
    </w:p>
    <w:p w14:paraId="6CB8302C" w14:textId="50C7E7CB" w:rsidR="00991790" w:rsidRPr="00F1649D" w:rsidRDefault="00026E91" w:rsidP="00F1649D">
      <w:pPr>
        <w:pStyle w:val="ListParagraph"/>
        <w:numPr>
          <w:ilvl w:val="0"/>
          <w:numId w:val="3"/>
        </w:numPr>
        <w:spacing w:after="120" w:line="288" w:lineRule="auto"/>
        <w:ind w:left="1170" w:hanging="270"/>
        <w:contextualSpacing w:val="0"/>
        <w:jc w:val="both"/>
        <w:rPr>
          <w:sz w:val="22"/>
        </w:rPr>
      </w:pPr>
      <w:r w:rsidRPr="00F1649D">
        <w:rPr>
          <w:sz w:val="22"/>
        </w:rPr>
        <w:t>Applicability domain</w:t>
      </w:r>
      <w:r w:rsidR="00991790" w:rsidRPr="00F1649D">
        <w:rPr>
          <w:sz w:val="22"/>
        </w:rPr>
        <w:t>, e.g.</w:t>
      </w:r>
      <w:r w:rsidR="00E755CC" w:rsidRPr="00F1649D">
        <w:rPr>
          <w:sz w:val="22"/>
        </w:rPr>
        <w:t xml:space="preserve"> </w:t>
      </w:r>
      <w:r w:rsidR="00991790" w:rsidRPr="00F1649D">
        <w:rPr>
          <w:sz w:val="22"/>
        </w:rPr>
        <w:t>how discriminating is the NAM in terms of chemical structure</w:t>
      </w:r>
      <w:r w:rsidR="00E839C0" w:rsidRPr="00F1649D">
        <w:rPr>
          <w:sz w:val="22"/>
        </w:rPr>
        <w:t xml:space="preserve"> or biological </w:t>
      </w:r>
      <w:r w:rsidR="008F5163" w:rsidRPr="00F1649D">
        <w:rPr>
          <w:sz w:val="22"/>
        </w:rPr>
        <w:t>activity</w:t>
      </w:r>
    </w:p>
    <w:p w14:paraId="711CF9A6" w14:textId="77777777" w:rsidR="00026E91" w:rsidRPr="00F1649D" w:rsidRDefault="00991790" w:rsidP="00F1649D">
      <w:pPr>
        <w:pStyle w:val="ListParagraph"/>
        <w:numPr>
          <w:ilvl w:val="0"/>
          <w:numId w:val="3"/>
        </w:numPr>
        <w:spacing w:after="120" w:line="288" w:lineRule="auto"/>
        <w:ind w:left="1181" w:hanging="274"/>
        <w:contextualSpacing w:val="0"/>
        <w:jc w:val="both"/>
        <w:rPr>
          <w:sz w:val="22"/>
        </w:rPr>
      </w:pPr>
      <w:r w:rsidRPr="00F1649D">
        <w:rPr>
          <w:sz w:val="22"/>
        </w:rPr>
        <w:t>Performance</w:t>
      </w:r>
    </w:p>
    <w:p w14:paraId="6C255414" w14:textId="77777777" w:rsidR="00C736F4" w:rsidRPr="00C736F4" w:rsidRDefault="00C736F4" w:rsidP="006F1E62">
      <w:pPr>
        <w:shd w:val="clear" w:color="auto" w:fill="FBE4D5" w:themeFill="accent2" w:themeFillTint="33"/>
        <w:tabs>
          <w:tab w:val="left" w:pos="360"/>
        </w:tabs>
        <w:ind w:left="360" w:hanging="360"/>
        <w:jc w:val="both"/>
        <w:rPr>
          <w:b/>
          <w:sz w:val="8"/>
          <w:szCs w:val="8"/>
        </w:rPr>
      </w:pPr>
    </w:p>
    <w:p w14:paraId="02520D2E" w14:textId="09430BB8" w:rsidR="00247C90" w:rsidRDefault="007E249B" w:rsidP="006F1E62">
      <w:pPr>
        <w:shd w:val="clear" w:color="auto" w:fill="FBE4D5" w:themeFill="accent2" w:themeFillTint="33"/>
        <w:tabs>
          <w:tab w:val="left" w:pos="360"/>
        </w:tabs>
        <w:ind w:left="360" w:hanging="360"/>
        <w:jc w:val="both"/>
        <w:rPr>
          <w:b/>
        </w:rPr>
      </w:pPr>
      <w:r>
        <w:rPr>
          <w:b/>
        </w:rPr>
        <w:t xml:space="preserve">II. </w:t>
      </w:r>
      <w:r>
        <w:rPr>
          <w:b/>
        </w:rPr>
        <w:tab/>
      </w:r>
      <w:r w:rsidRPr="00C0600B">
        <w:rPr>
          <w:b/>
        </w:rPr>
        <w:t xml:space="preserve">What are </w:t>
      </w:r>
      <w:r w:rsidR="00E3008C" w:rsidRPr="00C0600B">
        <w:rPr>
          <w:b/>
        </w:rPr>
        <w:t>the</w:t>
      </w:r>
      <w:r w:rsidRPr="00C0600B">
        <w:rPr>
          <w:b/>
        </w:rPr>
        <w:t xml:space="preserve"> requirements under the following </w:t>
      </w:r>
      <w:r w:rsidR="004A40E0" w:rsidRPr="00C0600B">
        <w:rPr>
          <w:b/>
        </w:rPr>
        <w:t xml:space="preserve">RAX </w:t>
      </w:r>
      <w:r w:rsidRPr="00C0600B">
        <w:rPr>
          <w:b/>
        </w:rPr>
        <w:t>conditions?</w:t>
      </w:r>
    </w:p>
    <w:p w14:paraId="40EE1907" w14:textId="77777777" w:rsidR="00C736F4" w:rsidRPr="00C736F4" w:rsidRDefault="00C736F4" w:rsidP="006F1E62">
      <w:pPr>
        <w:shd w:val="clear" w:color="auto" w:fill="FBE4D5" w:themeFill="accent2" w:themeFillTint="33"/>
        <w:tabs>
          <w:tab w:val="left" w:pos="360"/>
        </w:tabs>
        <w:ind w:left="360" w:hanging="360"/>
        <w:jc w:val="both"/>
        <w:rPr>
          <w:b/>
          <w:sz w:val="8"/>
          <w:szCs w:val="8"/>
        </w:rPr>
      </w:pPr>
    </w:p>
    <w:p w14:paraId="7A92A614" w14:textId="77777777" w:rsidR="005E30BF" w:rsidRPr="001E11ED" w:rsidRDefault="00247C90" w:rsidP="001E11ED">
      <w:pPr>
        <w:spacing w:before="120" w:after="120" w:line="288" w:lineRule="auto"/>
        <w:jc w:val="both"/>
        <w:rPr>
          <w:sz w:val="22"/>
        </w:rPr>
      </w:pPr>
      <w:r w:rsidRPr="001E11ED">
        <w:rPr>
          <w:sz w:val="22"/>
        </w:rPr>
        <w:t xml:space="preserve">Below scenarios are to be discussed dependent on whether an AOP or Mode of Action is known or not. </w:t>
      </w:r>
    </w:p>
    <w:p w14:paraId="18CC4987" w14:textId="1E843067" w:rsidR="00247C90" w:rsidRPr="001E11ED" w:rsidRDefault="00247C90" w:rsidP="001E11ED">
      <w:pPr>
        <w:spacing w:after="120" w:line="288" w:lineRule="auto"/>
        <w:jc w:val="both"/>
        <w:rPr>
          <w:sz w:val="22"/>
        </w:rPr>
      </w:pPr>
      <w:r w:rsidRPr="001E11ED">
        <w:rPr>
          <w:sz w:val="22"/>
        </w:rPr>
        <w:t xml:space="preserve">Mode of action involves identification of </w:t>
      </w:r>
      <w:r w:rsidR="000457A4" w:rsidRPr="001E11ED">
        <w:rPr>
          <w:sz w:val="22"/>
        </w:rPr>
        <w:t>specific effects</w:t>
      </w:r>
      <w:r w:rsidRPr="001E11ED">
        <w:rPr>
          <w:sz w:val="22"/>
        </w:rPr>
        <w:t xml:space="preserve"> between exposure and effect</w:t>
      </w:r>
      <w:r w:rsidR="005E30BF" w:rsidRPr="001E11ED">
        <w:rPr>
          <w:sz w:val="22"/>
        </w:rPr>
        <w:t xml:space="preserve"> from the early effects, late responses and to the pathology. An example is for example decrease in thyroid hormones resulting in an increase in thyroid stimulating hormone levels resulting in thyroid follicular cell hypertrophy and hyperplasia.</w:t>
      </w:r>
    </w:p>
    <w:p w14:paraId="097B5897" w14:textId="163F29B6" w:rsidR="007E249B" w:rsidRDefault="005E30BF" w:rsidP="001E11ED">
      <w:pPr>
        <w:spacing w:after="120" w:line="288" w:lineRule="auto"/>
        <w:jc w:val="both"/>
        <w:rPr>
          <w:sz w:val="22"/>
        </w:rPr>
      </w:pPr>
      <w:r w:rsidRPr="001E11ED">
        <w:rPr>
          <w:sz w:val="22"/>
        </w:rPr>
        <w:t>AOP</w:t>
      </w:r>
      <w:r w:rsidR="00A67343" w:rsidRPr="001E11ED">
        <w:rPr>
          <w:sz w:val="22"/>
        </w:rPr>
        <w:t xml:space="preserve"> are biological pathways, which can be tipped by a stressor often with focus on the MIE. An example is inhibition of the sodium iodide symporter leading to impairment of learning and memory through several KE involving decreased circulating thyroid hormone levels</w:t>
      </w:r>
      <w:r w:rsidR="00207C3D" w:rsidRPr="001E11ED">
        <w:rPr>
          <w:sz w:val="22"/>
        </w:rPr>
        <w:t>.</w:t>
      </w:r>
    </w:p>
    <w:p w14:paraId="3105B244" w14:textId="2A3020CC" w:rsidR="00991790" w:rsidRPr="00CA3FB4" w:rsidRDefault="00991790" w:rsidP="00CA3FB4">
      <w:pPr>
        <w:pStyle w:val="ListParagraph"/>
        <w:numPr>
          <w:ilvl w:val="0"/>
          <w:numId w:val="12"/>
        </w:numPr>
        <w:spacing w:before="360" w:after="120" w:line="288" w:lineRule="auto"/>
        <w:ind w:left="714" w:hanging="357"/>
        <w:contextualSpacing w:val="0"/>
        <w:jc w:val="both"/>
        <w:rPr>
          <w:b/>
          <w:sz w:val="22"/>
          <w:u w:val="single"/>
        </w:rPr>
      </w:pPr>
      <w:r w:rsidRPr="00CA3FB4">
        <w:rPr>
          <w:b/>
          <w:sz w:val="22"/>
          <w:u w:val="single"/>
        </w:rPr>
        <w:lastRenderedPageBreak/>
        <w:t xml:space="preserve">When </w:t>
      </w:r>
      <w:r w:rsidR="008F5163" w:rsidRPr="00CA3FB4">
        <w:rPr>
          <w:b/>
          <w:sz w:val="22"/>
          <w:u w:val="single"/>
        </w:rPr>
        <w:t xml:space="preserve">an </w:t>
      </w:r>
      <w:r w:rsidRPr="00CA3FB4">
        <w:rPr>
          <w:b/>
          <w:color w:val="FF0000"/>
          <w:sz w:val="22"/>
          <w:u w:val="single"/>
        </w:rPr>
        <w:t>AOP</w:t>
      </w:r>
      <w:r w:rsidR="00A337B9" w:rsidRPr="00CA3FB4">
        <w:rPr>
          <w:b/>
          <w:color w:val="FF0000"/>
          <w:sz w:val="22"/>
          <w:u w:val="single"/>
        </w:rPr>
        <w:t xml:space="preserve"> is known</w:t>
      </w:r>
      <w:r w:rsidR="005E3279" w:rsidRPr="00CA3FB4">
        <w:rPr>
          <w:b/>
          <w:color w:val="FF0000"/>
          <w:sz w:val="22"/>
          <w:u w:val="single"/>
        </w:rPr>
        <w:t xml:space="preserve"> </w:t>
      </w:r>
      <w:r w:rsidR="005E3279" w:rsidRPr="00CA3FB4">
        <w:rPr>
          <w:b/>
          <w:sz w:val="22"/>
          <w:u w:val="single"/>
        </w:rPr>
        <w:t>for the shared apical effects</w:t>
      </w:r>
      <w:r w:rsidR="004A40E0" w:rsidRPr="00CA3FB4">
        <w:rPr>
          <w:b/>
          <w:sz w:val="22"/>
          <w:u w:val="single"/>
        </w:rPr>
        <w:t xml:space="preserve"> &amp;</w:t>
      </w:r>
      <w:r w:rsidR="005E3279" w:rsidRPr="00CA3FB4">
        <w:rPr>
          <w:b/>
          <w:sz w:val="22"/>
          <w:u w:val="single"/>
        </w:rPr>
        <w:t xml:space="preserve"> target organs</w:t>
      </w:r>
    </w:p>
    <w:p w14:paraId="6E7ACFA1" w14:textId="77777777" w:rsidR="00697C24" w:rsidRPr="00D80E53" w:rsidRDefault="00697C24" w:rsidP="00374AFA">
      <w:pPr>
        <w:pStyle w:val="ListParagraph"/>
        <w:numPr>
          <w:ilvl w:val="0"/>
          <w:numId w:val="4"/>
        </w:numPr>
        <w:spacing w:after="120" w:line="288" w:lineRule="auto"/>
        <w:ind w:left="1134" w:hanging="227"/>
        <w:contextualSpacing w:val="0"/>
        <w:jc w:val="both"/>
        <w:rPr>
          <w:sz w:val="22"/>
        </w:rPr>
      </w:pPr>
      <w:r w:rsidRPr="00D80E53">
        <w:rPr>
          <w:sz w:val="22"/>
        </w:rPr>
        <w:t xml:space="preserve">Which testing scope is needed? </w:t>
      </w:r>
    </w:p>
    <w:p w14:paraId="344BF0A3" w14:textId="7ECE0955" w:rsidR="00697C24" w:rsidRPr="00D80E53" w:rsidRDefault="00697C24" w:rsidP="00D80E53">
      <w:pPr>
        <w:pStyle w:val="ListParagraph"/>
        <w:numPr>
          <w:ilvl w:val="1"/>
          <w:numId w:val="4"/>
        </w:numPr>
        <w:spacing w:after="120" w:line="288" w:lineRule="auto"/>
        <w:ind w:left="1530" w:hanging="270"/>
        <w:contextualSpacing w:val="0"/>
        <w:jc w:val="both"/>
        <w:rPr>
          <w:sz w:val="22"/>
        </w:rPr>
      </w:pPr>
      <w:r w:rsidRPr="00D80E53">
        <w:rPr>
          <w:sz w:val="22"/>
        </w:rPr>
        <w:t>Is testing according to AOPs sufficient?</w:t>
      </w:r>
      <w:r w:rsidR="004E5929" w:rsidRPr="00D80E53">
        <w:rPr>
          <w:sz w:val="22"/>
        </w:rPr>
        <w:t xml:space="preserve"> Or </w:t>
      </w:r>
      <w:r w:rsidR="00D40B79" w:rsidRPr="00D80E53">
        <w:rPr>
          <w:sz w:val="22"/>
        </w:rPr>
        <w:t xml:space="preserve">is </w:t>
      </w:r>
      <w:r w:rsidR="004E5929" w:rsidRPr="00D80E53">
        <w:rPr>
          <w:sz w:val="22"/>
        </w:rPr>
        <w:t>testing</w:t>
      </w:r>
      <w:r w:rsidR="00D40B79" w:rsidRPr="00D80E53">
        <w:rPr>
          <w:sz w:val="22"/>
        </w:rPr>
        <w:t xml:space="preserve"> in</w:t>
      </w:r>
      <w:r w:rsidR="004E5929" w:rsidRPr="00D80E53">
        <w:rPr>
          <w:sz w:val="22"/>
        </w:rPr>
        <w:t xml:space="preserve"> assay systems covering the shared toxicological effect patterns</w:t>
      </w:r>
      <w:r w:rsidR="00D40B79" w:rsidRPr="00D80E53">
        <w:rPr>
          <w:sz w:val="22"/>
        </w:rPr>
        <w:t xml:space="preserve"> sufficient</w:t>
      </w:r>
      <w:r w:rsidR="004E5929" w:rsidRPr="00D80E53">
        <w:rPr>
          <w:sz w:val="22"/>
        </w:rPr>
        <w:t>?</w:t>
      </w:r>
    </w:p>
    <w:p w14:paraId="6AAA4801" w14:textId="77777777" w:rsidR="00060C9D" w:rsidRPr="00D80E53" w:rsidRDefault="00060C9D" w:rsidP="00D80E53">
      <w:pPr>
        <w:pStyle w:val="ListParagraph"/>
        <w:numPr>
          <w:ilvl w:val="1"/>
          <w:numId w:val="4"/>
        </w:numPr>
        <w:spacing w:after="120" w:line="288" w:lineRule="auto"/>
        <w:ind w:left="1530" w:hanging="270"/>
        <w:contextualSpacing w:val="0"/>
        <w:jc w:val="both"/>
        <w:rPr>
          <w:sz w:val="22"/>
        </w:rPr>
      </w:pPr>
      <w:r w:rsidRPr="00D80E53">
        <w:rPr>
          <w:sz w:val="22"/>
        </w:rPr>
        <w:t>Can recommendations be made on whether all KEs of an AOP need to be tested and identify cases where this would not be necessary?</w:t>
      </w:r>
    </w:p>
    <w:p w14:paraId="605B5F73" w14:textId="538D649C" w:rsidR="00697C24" w:rsidRPr="00D80E53" w:rsidRDefault="00697C24" w:rsidP="00D80E53">
      <w:pPr>
        <w:pStyle w:val="ListParagraph"/>
        <w:numPr>
          <w:ilvl w:val="1"/>
          <w:numId w:val="4"/>
        </w:numPr>
        <w:spacing w:after="120" w:line="288" w:lineRule="auto"/>
        <w:ind w:left="1530" w:hanging="270"/>
        <w:contextualSpacing w:val="0"/>
        <w:jc w:val="both"/>
        <w:rPr>
          <w:sz w:val="22"/>
        </w:rPr>
      </w:pPr>
      <w:r w:rsidRPr="00D80E53">
        <w:rPr>
          <w:sz w:val="22"/>
        </w:rPr>
        <w:t xml:space="preserve">Does the testing scope change </w:t>
      </w:r>
      <w:r w:rsidR="00CE536C" w:rsidRPr="00D80E53">
        <w:rPr>
          <w:sz w:val="22"/>
        </w:rPr>
        <w:t>in case a</w:t>
      </w:r>
      <w:r w:rsidRPr="00D80E53">
        <w:rPr>
          <w:sz w:val="22"/>
        </w:rPr>
        <w:t xml:space="preserve"> negative trend is the read-across outcome?</w:t>
      </w:r>
    </w:p>
    <w:p w14:paraId="7287F8E6" w14:textId="461DF0CA" w:rsidR="00066761" w:rsidRPr="00D80E53" w:rsidRDefault="00066761" w:rsidP="00D80E53">
      <w:pPr>
        <w:pStyle w:val="ListParagraph"/>
        <w:numPr>
          <w:ilvl w:val="1"/>
          <w:numId w:val="4"/>
        </w:numPr>
        <w:spacing w:after="120" w:line="288" w:lineRule="auto"/>
        <w:ind w:left="1530" w:hanging="270"/>
        <w:contextualSpacing w:val="0"/>
        <w:jc w:val="both"/>
        <w:rPr>
          <w:sz w:val="22"/>
        </w:rPr>
      </w:pPr>
      <w:r w:rsidRPr="00D80E53">
        <w:rPr>
          <w:sz w:val="22"/>
        </w:rPr>
        <w:t xml:space="preserve">Concerning the primary effect: should </w:t>
      </w:r>
      <w:r w:rsidR="00EC4DAF" w:rsidRPr="00D80E53">
        <w:rPr>
          <w:sz w:val="22"/>
        </w:rPr>
        <w:t xml:space="preserve">test assay systems </w:t>
      </w:r>
      <w:r w:rsidRPr="00D80E53">
        <w:rPr>
          <w:sz w:val="22"/>
        </w:rPr>
        <w:t xml:space="preserve">provide evidence that the read-across endpoint is the lead effect? Is this needed for scenario 1 as well as </w:t>
      </w:r>
      <w:r w:rsidR="00BB65FE" w:rsidRPr="00D80E53">
        <w:rPr>
          <w:sz w:val="22"/>
        </w:rPr>
        <w:t>f</w:t>
      </w:r>
      <w:r w:rsidRPr="00D80E53">
        <w:rPr>
          <w:sz w:val="22"/>
        </w:rPr>
        <w:t>or scenario 2?</w:t>
      </w:r>
    </w:p>
    <w:p w14:paraId="1CC73B94" w14:textId="779E64FE" w:rsidR="00417166" w:rsidRPr="00D80E53" w:rsidRDefault="00417166" w:rsidP="00D80E53">
      <w:pPr>
        <w:pStyle w:val="ListParagraph"/>
        <w:numPr>
          <w:ilvl w:val="1"/>
          <w:numId w:val="4"/>
        </w:numPr>
        <w:spacing w:after="120" w:line="288" w:lineRule="auto"/>
        <w:ind w:left="1530" w:hanging="270"/>
        <w:contextualSpacing w:val="0"/>
        <w:jc w:val="both"/>
        <w:rPr>
          <w:sz w:val="22"/>
        </w:rPr>
      </w:pPr>
      <w:r w:rsidRPr="00D80E53">
        <w:rPr>
          <w:sz w:val="22"/>
        </w:rPr>
        <w:t xml:space="preserve">Supporting evidence: </w:t>
      </w:r>
      <w:r w:rsidR="00066761" w:rsidRPr="00D80E53">
        <w:rPr>
          <w:sz w:val="22"/>
        </w:rPr>
        <w:t>w</w:t>
      </w:r>
      <w:r w:rsidRPr="00D80E53">
        <w:rPr>
          <w:sz w:val="22"/>
        </w:rPr>
        <w:t xml:space="preserve">hat other </w:t>
      </w:r>
      <w:r w:rsidR="00BB65FE" w:rsidRPr="00D80E53">
        <w:rPr>
          <w:sz w:val="22"/>
        </w:rPr>
        <w:t xml:space="preserve">effect </w:t>
      </w:r>
      <w:r w:rsidRPr="00D80E53">
        <w:rPr>
          <w:sz w:val="22"/>
        </w:rPr>
        <w:t xml:space="preserve">data (other than the RAX </w:t>
      </w:r>
      <w:r w:rsidR="00BB65FE" w:rsidRPr="00D80E53">
        <w:rPr>
          <w:sz w:val="22"/>
        </w:rPr>
        <w:t>effect</w:t>
      </w:r>
      <w:r w:rsidRPr="00D80E53">
        <w:rPr>
          <w:sz w:val="22"/>
        </w:rPr>
        <w:t xml:space="preserve">) can strengthen the case? </w:t>
      </w:r>
      <w:r w:rsidR="000457A4" w:rsidRPr="00D80E53">
        <w:rPr>
          <w:sz w:val="22"/>
        </w:rPr>
        <w:t xml:space="preserve">E.g. data from </w:t>
      </w:r>
      <w:r w:rsidR="00EA4A8F">
        <w:rPr>
          <w:sz w:val="22"/>
        </w:rPr>
        <w:t>an</w:t>
      </w:r>
      <w:r w:rsidR="000457A4" w:rsidRPr="00D80E53">
        <w:rPr>
          <w:sz w:val="22"/>
        </w:rPr>
        <w:t>other guideline test.</w:t>
      </w:r>
    </w:p>
    <w:p w14:paraId="7B5E0B96" w14:textId="2B49097A" w:rsidR="004571D6" w:rsidRPr="00D80E53" w:rsidRDefault="004571D6" w:rsidP="00D80E53">
      <w:pPr>
        <w:pStyle w:val="ListParagraph"/>
        <w:numPr>
          <w:ilvl w:val="0"/>
          <w:numId w:val="4"/>
        </w:numPr>
        <w:spacing w:after="120" w:line="288" w:lineRule="auto"/>
        <w:ind w:left="1080" w:hanging="180"/>
        <w:contextualSpacing w:val="0"/>
        <w:jc w:val="both"/>
        <w:rPr>
          <w:sz w:val="22"/>
        </w:rPr>
      </w:pPr>
      <w:proofErr w:type="spellStart"/>
      <w:r w:rsidRPr="00D80E53">
        <w:rPr>
          <w:sz w:val="22"/>
        </w:rPr>
        <w:t>Toxi</w:t>
      </w:r>
      <w:r w:rsidR="00BB65FE" w:rsidRPr="00D80E53">
        <w:rPr>
          <w:sz w:val="22"/>
        </w:rPr>
        <w:t>c</w:t>
      </w:r>
      <w:r w:rsidRPr="00D80E53">
        <w:rPr>
          <w:sz w:val="22"/>
        </w:rPr>
        <w:t>okinetic</w:t>
      </w:r>
      <w:r w:rsidR="00BB65FE" w:rsidRPr="00D80E53">
        <w:rPr>
          <w:sz w:val="22"/>
        </w:rPr>
        <w:t>s</w:t>
      </w:r>
      <w:proofErr w:type="spellEnd"/>
      <w:r w:rsidR="00C12494" w:rsidRPr="00D80E53">
        <w:rPr>
          <w:sz w:val="22"/>
        </w:rPr>
        <w:t>:</w:t>
      </w:r>
      <w:r w:rsidR="001C20E4" w:rsidRPr="00D80E53">
        <w:rPr>
          <w:sz w:val="22"/>
        </w:rPr>
        <w:t xml:space="preserve"> </w:t>
      </w:r>
      <w:r w:rsidR="000E7224" w:rsidRPr="00D80E53">
        <w:rPr>
          <w:sz w:val="22"/>
        </w:rPr>
        <w:t>PBPK model</w:t>
      </w:r>
      <w:r w:rsidR="00D40B79" w:rsidRPr="00D80E53">
        <w:rPr>
          <w:sz w:val="22"/>
        </w:rPr>
        <w:t>ling</w:t>
      </w:r>
      <w:r w:rsidR="000E7224" w:rsidRPr="00D80E53">
        <w:rPr>
          <w:sz w:val="22"/>
        </w:rPr>
        <w:t xml:space="preserve"> inform</w:t>
      </w:r>
      <w:r w:rsidR="00D40B79" w:rsidRPr="00D80E53">
        <w:rPr>
          <w:sz w:val="22"/>
        </w:rPr>
        <w:t>s</w:t>
      </w:r>
      <w:r w:rsidR="000E7224" w:rsidRPr="00D80E53">
        <w:rPr>
          <w:sz w:val="22"/>
        </w:rPr>
        <w:t xml:space="preserve"> about the plasma and organ concentration in humans. </w:t>
      </w:r>
      <w:r w:rsidR="00A37387" w:rsidRPr="00D80E53">
        <w:rPr>
          <w:sz w:val="22"/>
        </w:rPr>
        <w:t>U</w:t>
      </w:r>
      <w:r w:rsidR="000E7224" w:rsidRPr="00D80E53">
        <w:rPr>
          <w:sz w:val="22"/>
        </w:rPr>
        <w:t>nder which conditions is</w:t>
      </w:r>
      <w:r w:rsidRPr="00D80E53">
        <w:rPr>
          <w:sz w:val="22"/>
        </w:rPr>
        <w:t xml:space="preserve"> </w:t>
      </w:r>
      <w:r w:rsidR="000E7224" w:rsidRPr="00D80E53">
        <w:rPr>
          <w:sz w:val="22"/>
        </w:rPr>
        <w:t xml:space="preserve">IVIVE-PBPBK model acceptable? Is full </w:t>
      </w:r>
      <w:r w:rsidRPr="00D80E53">
        <w:rPr>
          <w:sz w:val="22"/>
        </w:rPr>
        <w:t xml:space="preserve">PBPK </w:t>
      </w:r>
      <w:r w:rsidR="00C12494" w:rsidRPr="00D80E53">
        <w:rPr>
          <w:sz w:val="22"/>
        </w:rPr>
        <w:t>model</w:t>
      </w:r>
      <w:r w:rsidR="000E7224" w:rsidRPr="00D80E53">
        <w:rPr>
          <w:sz w:val="22"/>
        </w:rPr>
        <w:t>ling</w:t>
      </w:r>
      <w:r w:rsidR="00C12494" w:rsidRPr="00D80E53">
        <w:rPr>
          <w:sz w:val="22"/>
        </w:rPr>
        <w:t xml:space="preserve"> needed for RAX justification</w:t>
      </w:r>
      <w:r w:rsidRPr="00D80E53">
        <w:rPr>
          <w:sz w:val="22"/>
        </w:rPr>
        <w:t xml:space="preserve"> </w:t>
      </w:r>
      <w:r w:rsidR="00C12494" w:rsidRPr="00D80E53">
        <w:rPr>
          <w:sz w:val="22"/>
        </w:rPr>
        <w:t>o</w:t>
      </w:r>
      <w:r w:rsidRPr="00D80E53">
        <w:rPr>
          <w:sz w:val="22"/>
        </w:rPr>
        <w:t xml:space="preserve">r are in vitro </w:t>
      </w:r>
      <w:r w:rsidR="00C12494" w:rsidRPr="00D80E53">
        <w:rPr>
          <w:sz w:val="22"/>
        </w:rPr>
        <w:t xml:space="preserve">toxicokinetic </w:t>
      </w:r>
      <w:r w:rsidRPr="00D80E53">
        <w:rPr>
          <w:sz w:val="22"/>
        </w:rPr>
        <w:t xml:space="preserve">parameters </w:t>
      </w:r>
      <w:r w:rsidR="00C12494" w:rsidRPr="00D80E53">
        <w:rPr>
          <w:sz w:val="22"/>
        </w:rPr>
        <w:t>such as</w:t>
      </w:r>
      <w:r w:rsidRPr="00D80E53">
        <w:rPr>
          <w:sz w:val="22"/>
        </w:rPr>
        <w:t xml:space="preserve"> plasma protein</w:t>
      </w:r>
      <w:r w:rsidR="00C12494" w:rsidRPr="00D80E53">
        <w:rPr>
          <w:sz w:val="22"/>
        </w:rPr>
        <w:t xml:space="preserve"> binding</w:t>
      </w:r>
      <w:r w:rsidRPr="00D80E53">
        <w:rPr>
          <w:sz w:val="22"/>
        </w:rPr>
        <w:t xml:space="preserve">, </w:t>
      </w:r>
      <w:r w:rsidR="00C12494" w:rsidRPr="00D80E53">
        <w:rPr>
          <w:sz w:val="22"/>
        </w:rPr>
        <w:t xml:space="preserve">and </w:t>
      </w:r>
      <w:r w:rsidRPr="00D80E53">
        <w:rPr>
          <w:sz w:val="22"/>
        </w:rPr>
        <w:t xml:space="preserve">intrinsic hepatic clearance </w:t>
      </w:r>
      <w:r w:rsidR="00C12494" w:rsidRPr="00D80E53">
        <w:rPr>
          <w:sz w:val="22"/>
        </w:rPr>
        <w:t>sufficient</w:t>
      </w:r>
      <w:r w:rsidRPr="00D80E53">
        <w:rPr>
          <w:sz w:val="22"/>
        </w:rPr>
        <w:t>?</w:t>
      </w:r>
    </w:p>
    <w:p w14:paraId="4C69B76A" w14:textId="034829DA" w:rsidR="005B47EB" w:rsidRPr="00D80E53" w:rsidRDefault="00697C24" w:rsidP="00D80E53">
      <w:pPr>
        <w:pStyle w:val="ListParagraph"/>
        <w:numPr>
          <w:ilvl w:val="0"/>
          <w:numId w:val="4"/>
        </w:numPr>
        <w:spacing w:after="120" w:line="288" w:lineRule="auto"/>
        <w:ind w:left="1080" w:hanging="180"/>
        <w:contextualSpacing w:val="0"/>
        <w:jc w:val="both"/>
        <w:rPr>
          <w:sz w:val="22"/>
        </w:rPr>
      </w:pPr>
      <w:r w:rsidRPr="00D80E53">
        <w:rPr>
          <w:sz w:val="22"/>
        </w:rPr>
        <w:t xml:space="preserve">Metabolism: </w:t>
      </w:r>
      <w:r w:rsidR="00C12494" w:rsidRPr="00D80E53">
        <w:rPr>
          <w:sz w:val="22"/>
        </w:rPr>
        <w:t>u</w:t>
      </w:r>
      <w:r w:rsidR="00446DBE" w:rsidRPr="00D80E53">
        <w:rPr>
          <w:sz w:val="22"/>
        </w:rPr>
        <w:t xml:space="preserve">nder what </w:t>
      </w:r>
      <w:r w:rsidR="00287435" w:rsidRPr="00D80E53">
        <w:rPr>
          <w:sz w:val="22"/>
        </w:rPr>
        <w:t xml:space="preserve">circumstances would </w:t>
      </w:r>
      <w:r w:rsidR="00EC4DAF" w:rsidRPr="00D80E53">
        <w:rPr>
          <w:sz w:val="22"/>
        </w:rPr>
        <w:t>test assay systems</w:t>
      </w:r>
      <w:r w:rsidR="00287435" w:rsidRPr="00D80E53">
        <w:rPr>
          <w:sz w:val="22"/>
        </w:rPr>
        <w:t xml:space="preserve"> be considered reliable if it is not known whether the parent</w:t>
      </w:r>
      <w:r w:rsidR="00446DBE" w:rsidRPr="00D80E53">
        <w:rPr>
          <w:sz w:val="22"/>
        </w:rPr>
        <w:t xml:space="preserve"> molecule</w:t>
      </w:r>
      <w:r w:rsidR="00287435" w:rsidRPr="00D80E53">
        <w:rPr>
          <w:sz w:val="22"/>
        </w:rPr>
        <w:t xml:space="preserve"> or a metabolite is causing the toxicity? </w:t>
      </w:r>
    </w:p>
    <w:p w14:paraId="60E1E717" w14:textId="5684F176" w:rsidR="00DD0CF0" w:rsidRPr="00CA3FB4" w:rsidRDefault="00DD0CF0" w:rsidP="00CA3FB4">
      <w:pPr>
        <w:pStyle w:val="ListParagraph"/>
        <w:numPr>
          <w:ilvl w:val="0"/>
          <w:numId w:val="12"/>
        </w:numPr>
        <w:spacing w:before="360" w:after="120" w:line="288" w:lineRule="auto"/>
        <w:ind w:left="714" w:hanging="357"/>
        <w:contextualSpacing w:val="0"/>
        <w:jc w:val="both"/>
        <w:rPr>
          <w:b/>
          <w:sz w:val="22"/>
          <w:u w:val="single"/>
        </w:rPr>
      </w:pPr>
      <w:r w:rsidRPr="00CA3FB4">
        <w:rPr>
          <w:b/>
          <w:sz w:val="22"/>
          <w:u w:val="single"/>
        </w:rPr>
        <w:t xml:space="preserve">When a </w:t>
      </w:r>
      <w:r w:rsidRPr="00CA3FB4">
        <w:rPr>
          <w:b/>
          <w:color w:val="FF0000"/>
          <w:sz w:val="22"/>
          <w:u w:val="single"/>
        </w:rPr>
        <w:t>Mode of Action</w:t>
      </w:r>
      <w:r w:rsidRPr="00CA3FB4">
        <w:rPr>
          <w:b/>
          <w:sz w:val="22"/>
          <w:u w:val="single"/>
        </w:rPr>
        <w:t xml:space="preserve"> </w:t>
      </w:r>
      <w:r w:rsidR="000E7224" w:rsidRPr="00CA3FB4">
        <w:rPr>
          <w:b/>
          <w:color w:val="FF0000"/>
          <w:sz w:val="22"/>
          <w:u w:val="single"/>
        </w:rPr>
        <w:t xml:space="preserve">or </w:t>
      </w:r>
      <w:r w:rsidR="000E7224" w:rsidRPr="00CA3FB4">
        <w:rPr>
          <w:b/>
          <w:sz w:val="22"/>
          <w:u w:val="single"/>
        </w:rPr>
        <w:t>a</w:t>
      </w:r>
      <w:r w:rsidR="000E7224" w:rsidRPr="00CA3FB4">
        <w:rPr>
          <w:b/>
          <w:color w:val="FF0000"/>
          <w:sz w:val="22"/>
          <w:u w:val="single"/>
        </w:rPr>
        <w:t xml:space="preserve"> </w:t>
      </w:r>
      <w:proofErr w:type="gramStart"/>
      <w:r w:rsidR="000E7224" w:rsidRPr="00CA3FB4">
        <w:rPr>
          <w:b/>
          <w:color w:val="FF0000"/>
          <w:sz w:val="22"/>
          <w:u w:val="single"/>
        </w:rPr>
        <w:t xml:space="preserve">specific </w:t>
      </w:r>
      <w:r w:rsidRPr="00CA3FB4">
        <w:rPr>
          <w:b/>
          <w:color w:val="FF0000"/>
          <w:sz w:val="22"/>
          <w:u w:val="single"/>
        </w:rPr>
        <w:t xml:space="preserve">shared apical </w:t>
      </w:r>
      <w:r w:rsidRPr="00CA3FB4">
        <w:rPr>
          <w:b/>
          <w:sz w:val="22"/>
          <w:u w:val="single"/>
        </w:rPr>
        <w:t>effects &amp; target organs</w:t>
      </w:r>
      <w:proofErr w:type="gramEnd"/>
      <w:r w:rsidR="000E7224" w:rsidRPr="00CA3FB4">
        <w:rPr>
          <w:b/>
          <w:sz w:val="22"/>
          <w:u w:val="single"/>
        </w:rPr>
        <w:t xml:space="preserve"> is known</w:t>
      </w:r>
      <w:r w:rsidR="007F3076" w:rsidRPr="00CA3FB4">
        <w:rPr>
          <w:b/>
          <w:sz w:val="22"/>
          <w:u w:val="single"/>
        </w:rPr>
        <w:t>.</w:t>
      </w:r>
    </w:p>
    <w:p w14:paraId="587DF82E" w14:textId="618A1C17" w:rsidR="00DD0CF0" w:rsidRPr="00D80E53" w:rsidRDefault="00DD0CF0" w:rsidP="008A6F6C">
      <w:pPr>
        <w:pStyle w:val="ListParagraph"/>
        <w:spacing w:after="120" w:line="288" w:lineRule="auto"/>
        <w:ind w:left="709"/>
        <w:contextualSpacing w:val="0"/>
        <w:jc w:val="both"/>
        <w:rPr>
          <w:sz w:val="22"/>
        </w:rPr>
      </w:pPr>
      <w:r w:rsidRPr="00D80E53">
        <w:rPr>
          <w:sz w:val="22"/>
        </w:rPr>
        <w:t>Same questions</w:t>
      </w:r>
      <w:r w:rsidR="00786346">
        <w:rPr>
          <w:sz w:val="22"/>
        </w:rPr>
        <w:t xml:space="preserve"> – </w:t>
      </w:r>
      <w:proofErr w:type="spellStart"/>
      <w:r w:rsidR="00F5441D" w:rsidRPr="00D80E53">
        <w:rPr>
          <w:sz w:val="22"/>
        </w:rPr>
        <w:t>i</w:t>
      </w:r>
      <w:proofErr w:type="spellEnd"/>
      <w:r w:rsidR="00F5441D" w:rsidRPr="00D80E53">
        <w:rPr>
          <w:sz w:val="22"/>
        </w:rPr>
        <w:t xml:space="preserve">. to </w:t>
      </w:r>
      <w:r w:rsidR="00B31370" w:rsidRPr="00D80E53">
        <w:rPr>
          <w:sz w:val="22"/>
        </w:rPr>
        <w:t>iii</w:t>
      </w:r>
      <w:r w:rsidR="00F5441D" w:rsidRPr="00D80E53">
        <w:rPr>
          <w:sz w:val="22"/>
        </w:rPr>
        <w:t>.</w:t>
      </w:r>
      <w:r w:rsidR="00786346">
        <w:rPr>
          <w:sz w:val="22"/>
        </w:rPr>
        <w:t xml:space="preserve"> – </w:t>
      </w:r>
      <w:r w:rsidRPr="00D80E53">
        <w:rPr>
          <w:sz w:val="22"/>
        </w:rPr>
        <w:t>as above</w:t>
      </w:r>
      <w:r w:rsidR="00066761" w:rsidRPr="00D80E53">
        <w:rPr>
          <w:sz w:val="22"/>
        </w:rPr>
        <w:t xml:space="preserve"> ad 1)</w:t>
      </w:r>
      <w:r w:rsidR="00F5441D" w:rsidRPr="00D80E53">
        <w:rPr>
          <w:sz w:val="22"/>
        </w:rPr>
        <w:t>.</w:t>
      </w:r>
    </w:p>
    <w:p w14:paraId="04BE7A1D" w14:textId="77777777" w:rsidR="000457A4" w:rsidRPr="00CA3FB4" w:rsidRDefault="004E5929" w:rsidP="00CA3FB4">
      <w:pPr>
        <w:pStyle w:val="ListParagraph"/>
        <w:numPr>
          <w:ilvl w:val="0"/>
          <w:numId w:val="12"/>
        </w:numPr>
        <w:spacing w:before="360" w:after="120" w:line="288" w:lineRule="auto"/>
        <w:ind w:left="714" w:hanging="357"/>
        <w:contextualSpacing w:val="0"/>
        <w:jc w:val="both"/>
        <w:rPr>
          <w:b/>
          <w:sz w:val="22"/>
          <w:u w:val="single"/>
        </w:rPr>
      </w:pPr>
      <w:r w:rsidRPr="00CA3FB4">
        <w:rPr>
          <w:b/>
          <w:sz w:val="22"/>
          <w:u w:val="single"/>
        </w:rPr>
        <w:t xml:space="preserve">When a </w:t>
      </w:r>
      <w:r w:rsidR="00C33B7A" w:rsidRPr="00CA3FB4">
        <w:rPr>
          <w:b/>
          <w:color w:val="FF0000"/>
          <w:sz w:val="22"/>
          <w:u w:val="single"/>
        </w:rPr>
        <w:t>M</w:t>
      </w:r>
      <w:r w:rsidRPr="00CA3FB4">
        <w:rPr>
          <w:b/>
          <w:color w:val="FF0000"/>
          <w:sz w:val="22"/>
          <w:u w:val="single"/>
        </w:rPr>
        <w:t xml:space="preserve">ode of </w:t>
      </w:r>
      <w:r w:rsidR="00C33B7A" w:rsidRPr="00CA3FB4">
        <w:rPr>
          <w:b/>
          <w:color w:val="FF0000"/>
          <w:sz w:val="22"/>
          <w:u w:val="single"/>
        </w:rPr>
        <w:t>A</w:t>
      </w:r>
      <w:r w:rsidRPr="00CA3FB4">
        <w:rPr>
          <w:b/>
          <w:color w:val="FF0000"/>
          <w:sz w:val="22"/>
          <w:u w:val="single"/>
        </w:rPr>
        <w:t>ction is not known</w:t>
      </w:r>
      <w:r w:rsidR="000457A4" w:rsidRPr="00CA3FB4">
        <w:rPr>
          <w:b/>
          <w:color w:val="FF0000"/>
          <w:sz w:val="22"/>
          <w:u w:val="single"/>
        </w:rPr>
        <w:t>.</w:t>
      </w:r>
    </w:p>
    <w:p w14:paraId="65E5647B" w14:textId="655EF110" w:rsidR="00CE536C" w:rsidRPr="00097D8B" w:rsidRDefault="000457A4" w:rsidP="00320B18">
      <w:pPr>
        <w:pStyle w:val="ListParagraph"/>
        <w:spacing w:after="120" w:line="288" w:lineRule="auto"/>
        <w:ind w:left="709"/>
        <w:contextualSpacing w:val="0"/>
        <w:jc w:val="both"/>
        <w:rPr>
          <w:sz w:val="22"/>
        </w:rPr>
      </w:pPr>
      <w:r w:rsidRPr="00097D8B">
        <w:rPr>
          <w:sz w:val="22"/>
        </w:rPr>
        <w:t xml:space="preserve">This is </w:t>
      </w:r>
      <w:proofErr w:type="gramStart"/>
      <w:r w:rsidRPr="00097D8B">
        <w:rPr>
          <w:sz w:val="22"/>
        </w:rPr>
        <w:t>in particular often</w:t>
      </w:r>
      <w:proofErr w:type="gramEnd"/>
      <w:r w:rsidRPr="00097D8B">
        <w:rPr>
          <w:sz w:val="22"/>
        </w:rPr>
        <w:t xml:space="preserve"> the case for </w:t>
      </w:r>
      <w:r w:rsidR="00CE536C" w:rsidRPr="00097D8B">
        <w:rPr>
          <w:sz w:val="22"/>
        </w:rPr>
        <w:t xml:space="preserve">adverse toxicological changes like significant decrease in body </w:t>
      </w:r>
      <w:r w:rsidR="00D40B79" w:rsidRPr="00097D8B">
        <w:rPr>
          <w:sz w:val="22"/>
        </w:rPr>
        <w:t>weight</w:t>
      </w:r>
      <w:r w:rsidR="00CE536C" w:rsidRPr="00097D8B">
        <w:rPr>
          <w:sz w:val="22"/>
        </w:rPr>
        <w:t xml:space="preserve"> (greater</w:t>
      </w:r>
      <w:r w:rsidR="00D40B79" w:rsidRPr="00097D8B">
        <w:rPr>
          <w:sz w:val="22"/>
        </w:rPr>
        <w:t xml:space="preserve"> than</w:t>
      </w:r>
      <w:r w:rsidR="00CE536C" w:rsidRPr="00097D8B">
        <w:rPr>
          <w:sz w:val="22"/>
        </w:rPr>
        <w:t xml:space="preserve"> 10%) for which as mode of action is unknown. </w:t>
      </w:r>
    </w:p>
    <w:p w14:paraId="6B11E3D9" w14:textId="68D5CD79" w:rsidR="005E3279" w:rsidRPr="008C1B37" w:rsidRDefault="0073694E" w:rsidP="008C1B37">
      <w:pPr>
        <w:pStyle w:val="ListParagraph"/>
        <w:numPr>
          <w:ilvl w:val="0"/>
          <w:numId w:val="21"/>
        </w:numPr>
        <w:spacing w:after="120" w:line="288" w:lineRule="auto"/>
        <w:ind w:left="1276" w:hanging="142"/>
        <w:contextualSpacing w:val="0"/>
        <w:jc w:val="both"/>
        <w:rPr>
          <w:sz w:val="22"/>
        </w:rPr>
      </w:pPr>
      <w:r w:rsidRPr="008C1B37">
        <w:rPr>
          <w:sz w:val="22"/>
        </w:rPr>
        <w:t>Which testing scope is needed?</w:t>
      </w:r>
    </w:p>
    <w:p w14:paraId="7AAFBEC2" w14:textId="6142442E" w:rsidR="0073694E" w:rsidRPr="00097D8B" w:rsidRDefault="0073694E" w:rsidP="00097D8B">
      <w:pPr>
        <w:pStyle w:val="ListParagraph"/>
        <w:numPr>
          <w:ilvl w:val="1"/>
          <w:numId w:val="15"/>
        </w:numPr>
        <w:spacing w:after="120" w:line="288" w:lineRule="auto"/>
        <w:ind w:left="1541" w:hanging="274"/>
        <w:contextualSpacing w:val="0"/>
        <w:jc w:val="both"/>
        <w:rPr>
          <w:sz w:val="22"/>
        </w:rPr>
      </w:pPr>
      <w:r w:rsidRPr="00097D8B">
        <w:rPr>
          <w:sz w:val="22"/>
        </w:rPr>
        <w:t xml:space="preserve">Is testing </w:t>
      </w:r>
      <w:r w:rsidR="00D40B79" w:rsidRPr="00097D8B">
        <w:rPr>
          <w:sz w:val="22"/>
        </w:rPr>
        <w:t xml:space="preserve">in </w:t>
      </w:r>
      <w:r w:rsidRPr="00097D8B">
        <w:rPr>
          <w:sz w:val="22"/>
        </w:rPr>
        <w:t>assay systems covering the shared toxicological effect patterns</w:t>
      </w:r>
      <w:r w:rsidR="00BB65FE" w:rsidRPr="00097D8B">
        <w:rPr>
          <w:sz w:val="22"/>
        </w:rPr>
        <w:t xml:space="preserve"> </w:t>
      </w:r>
      <w:proofErr w:type="gramStart"/>
      <w:r w:rsidR="00BB65FE" w:rsidRPr="00097D8B">
        <w:rPr>
          <w:sz w:val="22"/>
        </w:rPr>
        <w:t>sufficient</w:t>
      </w:r>
      <w:proofErr w:type="gramEnd"/>
      <w:r w:rsidRPr="00097D8B">
        <w:rPr>
          <w:sz w:val="22"/>
        </w:rPr>
        <w:t>?</w:t>
      </w:r>
    </w:p>
    <w:p w14:paraId="32467101" w14:textId="65FC875E" w:rsidR="00BB65FE" w:rsidRPr="00097D8B" w:rsidRDefault="00BB65FE" w:rsidP="00097D8B">
      <w:pPr>
        <w:pStyle w:val="ListParagraph"/>
        <w:numPr>
          <w:ilvl w:val="1"/>
          <w:numId w:val="15"/>
        </w:numPr>
        <w:spacing w:after="120" w:line="288" w:lineRule="auto"/>
        <w:ind w:left="1530" w:hanging="270"/>
        <w:contextualSpacing w:val="0"/>
        <w:jc w:val="both"/>
        <w:rPr>
          <w:sz w:val="22"/>
        </w:rPr>
      </w:pPr>
      <w:r w:rsidRPr="00097D8B">
        <w:rPr>
          <w:sz w:val="22"/>
        </w:rPr>
        <w:t xml:space="preserve">Does the testing scope change </w:t>
      </w:r>
      <w:r w:rsidR="00753BA2" w:rsidRPr="00097D8B">
        <w:rPr>
          <w:sz w:val="22"/>
        </w:rPr>
        <w:t>in case a</w:t>
      </w:r>
      <w:r w:rsidRPr="00097D8B">
        <w:rPr>
          <w:sz w:val="22"/>
        </w:rPr>
        <w:t xml:space="preserve"> negative trend is the read-across outcome?</w:t>
      </w:r>
    </w:p>
    <w:p w14:paraId="6B8FD9B8" w14:textId="44D63F82" w:rsidR="00BB65FE" w:rsidRPr="00097D8B" w:rsidRDefault="00BB65FE" w:rsidP="00097D8B">
      <w:pPr>
        <w:pStyle w:val="ListParagraph"/>
        <w:numPr>
          <w:ilvl w:val="1"/>
          <w:numId w:val="15"/>
        </w:numPr>
        <w:spacing w:after="120" w:line="288" w:lineRule="auto"/>
        <w:ind w:left="1530" w:hanging="270"/>
        <w:contextualSpacing w:val="0"/>
        <w:jc w:val="both"/>
        <w:rPr>
          <w:sz w:val="22"/>
        </w:rPr>
      </w:pPr>
      <w:r w:rsidRPr="00097D8B">
        <w:rPr>
          <w:sz w:val="22"/>
        </w:rPr>
        <w:t xml:space="preserve">Concerning the primary effect: should </w:t>
      </w:r>
      <w:r w:rsidR="00EC4DAF" w:rsidRPr="00097D8B">
        <w:rPr>
          <w:sz w:val="22"/>
        </w:rPr>
        <w:t xml:space="preserve">test assay systems </w:t>
      </w:r>
      <w:r w:rsidRPr="00097D8B">
        <w:rPr>
          <w:sz w:val="22"/>
        </w:rPr>
        <w:t xml:space="preserve">provide evidence that the read-across endpoint is the lead effect? Is this needed for scenario 1 as well as </w:t>
      </w:r>
      <w:r w:rsidR="00320B18" w:rsidRPr="00097D8B">
        <w:rPr>
          <w:sz w:val="22"/>
        </w:rPr>
        <w:t>for scenario</w:t>
      </w:r>
      <w:r w:rsidRPr="00097D8B">
        <w:rPr>
          <w:sz w:val="22"/>
        </w:rPr>
        <w:t xml:space="preserve"> 2?</w:t>
      </w:r>
    </w:p>
    <w:p w14:paraId="4BAC2941" w14:textId="4C7F0F5D" w:rsidR="003B2618" w:rsidRPr="00097D8B" w:rsidRDefault="00BB65FE" w:rsidP="00097D8B">
      <w:pPr>
        <w:pStyle w:val="ListParagraph"/>
        <w:numPr>
          <w:ilvl w:val="1"/>
          <w:numId w:val="15"/>
        </w:numPr>
        <w:spacing w:after="120" w:line="288" w:lineRule="auto"/>
        <w:ind w:left="1530" w:hanging="270"/>
        <w:contextualSpacing w:val="0"/>
        <w:jc w:val="both"/>
        <w:rPr>
          <w:sz w:val="22"/>
        </w:rPr>
      </w:pPr>
      <w:r w:rsidRPr="00097D8B">
        <w:rPr>
          <w:sz w:val="22"/>
        </w:rPr>
        <w:t xml:space="preserve">Supporting evidence: what other effect data </w:t>
      </w:r>
      <w:r w:rsidR="000457A4" w:rsidRPr="00097D8B">
        <w:rPr>
          <w:sz w:val="22"/>
        </w:rPr>
        <w:t>(e.g. data from other guideline test</w:t>
      </w:r>
      <w:r w:rsidRPr="00097D8B">
        <w:rPr>
          <w:sz w:val="22"/>
        </w:rPr>
        <w:t xml:space="preserve">) can strengthen the case? </w:t>
      </w:r>
    </w:p>
    <w:p w14:paraId="5C7A223D" w14:textId="7AAB2586" w:rsidR="00C0524D" w:rsidRPr="00097D8B" w:rsidRDefault="00C0524D" w:rsidP="00097D8B">
      <w:pPr>
        <w:pStyle w:val="ListParagraph"/>
        <w:numPr>
          <w:ilvl w:val="0"/>
          <w:numId w:val="15"/>
        </w:numPr>
        <w:spacing w:after="120" w:line="288" w:lineRule="auto"/>
        <w:ind w:left="1260" w:hanging="180"/>
        <w:contextualSpacing w:val="0"/>
        <w:jc w:val="both"/>
        <w:rPr>
          <w:sz w:val="22"/>
        </w:rPr>
      </w:pPr>
      <w:proofErr w:type="spellStart"/>
      <w:r w:rsidRPr="00097D8B">
        <w:rPr>
          <w:sz w:val="22"/>
        </w:rPr>
        <w:t>Toxicokinetics</w:t>
      </w:r>
      <w:proofErr w:type="spellEnd"/>
      <w:r w:rsidRPr="00097D8B">
        <w:rPr>
          <w:sz w:val="22"/>
        </w:rPr>
        <w:t xml:space="preserve">: </w:t>
      </w:r>
      <w:r w:rsidR="00CE536C" w:rsidRPr="00097D8B">
        <w:rPr>
          <w:sz w:val="22"/>
        </w:rPr>
        <w:t>Does PBPK modelling informs about potential target organs and by this define testing scope?</w:t>
      </w:r>
    </w:p>
    <w:p w14:paraId="49304955" w14:textId="4ED65D10" w:rsidR="00C0524D" w:rsidRPr="00097D8B" w:rsidRDefault="00C0524D" w:rsidP="00097D8B">
      <w:pPr>
        <w:pStyle w:val="ListParagraph"/>
        <w:numPr>
          <w:ilvl w:val="0"/>
          <w:numId w:val="15"/>
        </w:numPr>
        <w:spacing w:after="120" w:line="288" w:lineRule="auto"/>
        <w:ind w:left="1260" w:hanging="180"/>
        <w:contextualSpacing w:val="0"/>
        <w:jc w:val="both"/>
        <w:rPr>
          <w:sz w:val="22"/>
        </w:rPr>
      </w:pPr>
      <w:r w:rsidRPr="00097D8B">
        <w:rPr>
          <w:sz w:val="22"/>
        </w:rPr>
        <w:lastRenderedPageBreak/>
        <w:t>Metabolism: under what circumstances would test</w:t>
      </w:r>
      <w:r w:rsidR="00EC4DAF" w:rsidRPr="00097D8B">
        <w:rPr>
          <w:sz w:val="22"/>
        </w:rPr>
        <w:t xml:space="preserve"> assay systems</w:t>
      </w:r>
      <w:r w:rsidRPr="00097D8B">
        <w:rPr>
          <w:sz w:val="22"/>
        </w:rPr>
        <w:t xml:space="preserve"> be considered reliable if it is not known whether the parent molecule or a metabolite is causing the toxicity? </w:t>
      </w:r>
    </w:p>
    <w:p w14:paraId="14BEF996" w14:textId="2D9541E8" w:rsidR="00CE536C" w:rsidRPr="00097D8B" w:rsidRDefault="00753BA2" w:rsidP="00097D8B">
      <w:pPr>
        <w:pStyle w:val="ListParagraph"/>
        <w:numPr>
          <w:ilvl w:val="0"/>
          <w:numId w:val="15"/>
        </w:numPr>
        <w:spacing w:after="120" w:line="288" w:lineRule="auto"/>
        <w:ind w:left="1260" w:hanging="180"/>
        <w:contextualSpacing w:val="0"/>
        <w:jc w:val="both"/>
        <w:rPr>
          <w:sz w:val="22"/>
        </w:rPr>
      </w:pPr>
      <w:r w:rsidRPr="00097D8B">
        <w:rPr>
          <w:sz w:val="22"/>
        </w:rPr>
        <w:t>Can o</w:t>
      </w:r>
      <w:r w:rsidR="00CE536C" w:rsidRPr="00097D8B">
        <w:rPr>
          <w:sz w:val="22"/>
        </w:rPr>
        <w:t>mics</w:t>
      </w:r>
      <w:r w:rsidRPr="00097D8B">
        <w:rPr>
          <w:sz w:val="22"/>
        </w:rPr>
        <w:t xml:space="preserve"> data</w:t>
      </w:r>
      <w:r w:rsidR="00CE536C" w:rsidRPr="00097D8B">
        <w:rPr>
          <w:sz w:val="22"/>
        </w:rPr>
        <w:t xml:space="preserve"> to guide hypothesis building and testing?</w:t>
      </w:r>
    </w:p>
    <w:p w14:paraId="3DE7043C" w14:textId="7E5E78F4" w:rsidR="00567AC4" w:rsidRPr="00CA3FB4" w:rsidRDefault="00567AC4" w:rsidP="00CA3FB4">
      <w:pPr>
        <w:pStyle w:val="ListParagraph"/>
        <w:numPr>
          <w:ilvl w:val="0"/>
          <w:numId w:val="12"/>
        </w:numPr>
        <w:spacing w:before="360" w:after="120" w:line="288" w:lineRule="auto"/>
        <w:ind w:left="714" w:hanging="357"/>
        <w:contextualSpacing w:val="0"/>
        <w:jc w:val="both"/>
        <w:rPr>
          <w:b/>
          <w:sz w:val="22"/>
          <w:u w:val="single"/>
        </w:rPr>
      </w:pPr>
      <w:r w:rsidRPr="00CA3FB4">
        <w:rPr>
          <w:b/>
          <w:sz w:val="22"/>
          <w:u w:val="single"/>
        </w:rPr>
        <w:t xml:space="preserve">When </w:t>
      </w:r>
      <w:r w:rsidR="003B2618" w:rsidRPr="00CA3FB4">
        <w:rPr>
          <w:b/>
          <w:sz w:val="22"/>
          <w:u w:val="single"/>
        </w:rPr>
        <w:t xml:space="preserve">the source chemical(s) </w:t>
      </w:r>
      <w:r w:rsidR="00C33B7A" w:rsidRPr="00CA3FB4">
        <w:rPr>
          <w:b/>
          <w:color w:val="FF0000"/>
          <w:sz w:val="22"/>
          <w:u w:val="single"/>
        </w:rPr>
        <w:t>hardly</w:t>
      </w:r>
      <w:r w:rsidR="00C33B7A" w:rsidRPr="00CA3FB4">
        <w:rPr>
          <w:b/>
          <w:sz w:val="22"/>
          <w:u w:val="single"/>
        </w:rPr>
        <w:t xml:space="preserve"> </w:t>
      </w:r>
      <w:r w:rsidR="003B2618" w:rsidRPr="00CA3FB4">
        <w:rPr>
          <w:b/>
          <w:color w:val="FF0000"/>
          <w:sz w:val="22"/>
          <w:u w:val="single"/>
        </w:rPr>
        <w:t xml:space="preserve">show(s) </w:t>
      </w:r>
      <w:r w:rsidR="00B007F9" w:rsidRPr="00CA3FB4">
        <w:rPr>
          <w:b/>
          <w:color w:val="FF0000"/>
          <w:sz w:val="22"/>
          <w:u w:val="single"/>
        </w:rPr>
        <w:t xml:space="preserve">toxic </w:t>
      </w:r>
      <w:r w:rsidR="00C33B7A" w:rsidRPr="00CA3FB4">
        <w:rPr>
          <w:b/>
          <w:color w:val="FF0000"/>
          <w:sz w:val="22"/>
          <w:u w:val="single"/>
        </w:rPr>
        <w:t>effects</w:t>
      </w:r>
      <w:r w:rsidR="00C33B7A" w:rsidRPr="00CA3FB4">
        <w:rPr>
          <w:b/>
          <w:sz w:val="22"/>
          <w:u w:val="single"/>
        </w:rPr>
        <w:t xml:space="preserve">, </w:t>
      </w:r>
      <w:r w:rsidR="000C4568" w:rsidRPr="00CA3FB4">
        <w:rPr>
          <w:b/>
          <w:sz w:val="22"/>
          <w:u w:val="single"/>
        </w:rPr>
        <w:t xml:space="preserve">i.e. </w:t>
      </w:r>
      <w:r w:rsidR="00C33B7A" w:rsidRPr="00CA3FB4">
        <w:rPr>
          <w:b/>
          <w:sz w:val="22"/>
          <w:u w:val="single"/>
        </w:rPr>
        <w:t xml:space="preserve">only at </w:t>
      </w:r>
      <w:r w:rsidR="004239FC" w:rsidRPr="00CA3FB4">
        <w:rPr>
          <w:b/>
          <w:sz w:val="22"/>
          <w:u w:val="single"/>
        </w:rPr>
        <w:t>very high doses</w:t>
      </w:r>
      <w:r w:rsidR="00753BA2" w:rsidRPr="00CA3FB4">
        <w:rPr>
          <w:b/>
          <w:sz w:val="22"/>
          <w:u w:val="single"/>
        </w:rPr>
        <w:t xml:space="preserve"> for example up </w:t>
      </w:r>
      <w:r w:rsidR="00C90CA9" w:rsidRPr="00CA3FB4">
        <w:rPr>
          <w:b/>
          <w:sz w:val="22"/>
          <w:u w:val="single"/>
        </w:rPr>
        <w:t xml:space="preserve">to </w:t>
      </w:r>
      <w:r w:rsidR="00753BA2" w:rsidRPr="00CA3FB4">
        <w:rPr>
          <w:b/>
          <w:sz w:val="22"/>
          <w:u w:val="single"/>
        </w:rPr>
        <w:t xml:space="preserve">the testing limit of 1000 mg/kg </w:t>
      </w:r>
      <w:proofErr w:type="spellStart"/>
      <w:r w:rsidR="00753BA2" w:rsidRPr="00CA3FB4">
        <w:rPr>
          <w:b/>
          <w:sz w:val="22"/>
          <w:u w:val="single"/>
        </w:rPr>
        <w:t>bw</w:t>
      </w:r>
      <w:proofErr w:type="spellEnd"/>
      <w:r w:rsidR="00753BA2" w:rsidRPr="00CA3FB4">
        <w:rPr>
          <w:b/>
          <w:sz w:val="22"/>
          <w:u w:val="single"/>
        </w:rPr>
        <w:t>/day</w:t>
      </w:r>
      <w:r w:rsidR="00665D44" w:rsidRPr="00CA3FB4">
        <w:rPr>
          <w:b/>
          <w:sz w:val="22"/>
          <w:u w:val="single"/>
        </w:rPr>
        <w:t>.</w:t>
      </w:r>
    </w:p>
    <w:p w14:paraId="5F55F9CE" w14:textId="77777777" w:rsidR="004E3748" w:rsidRPr="003A1FB3" w:rsidRDefault="004E3748" w:rsidP="00487188">
      <w:pPr>
        <w:pStyle w:val="ListParagraph"/>
        <w:numPr>
          <w:ilvl w:val="0"/>
          <w:numId w:val="18"/>
        </w:numPr>
        <w:tabs>
          <w:tab w:val="left" w:pos="1276"/>
        </w:tabs>
        <w:spacing w:after="120" w:line="288" w:lineRule="auto"/>
        <w:ind w:left="1139" w:hanging="232"/>
        <w:contextualSpacing w:val="0"/>
        <w:jc w:val="both"/>
        <w:rPr>
          <w:sz w:val="22"/>
        </w:rPr>
      </w:pPr>
      <w:r w:rsidRPr="003A1FB3">
        <w:rPr>
          <w:sz w:val="22"/>
        </w:rPr>
        <w:t>Which testing scope is needed?</w:t>
      </w:r>
    </w:p>
    <w:p w14:paraId="005D46A1" w14:textId="7CB842E4" w:rsidR="004E3748" w:rsidRPr="003A1FB3" w:rsidRDefault="004E3748" w:rsidP="00487188">
      <w:pPr>
        <w:pStyle w:val="ListParagraph"/>
        <w:numPr>
          <w:ilvl w:val="1"/>
          <w:numId w:val="12"/>
        </w:numPr>
        <w:spacing w:after="120" w:line="288" w:lineRule="auto"/>
        <w:ind w:left="1530" w:hanging="270"/>
        <w:contextualSpacing w:val="0"/>
        <w:jc w:val="both"/>
        <w:rPr>
          <w:sz w:val="22"/>
        </w:rPr>
      </w:pPr>
      <w:r w:rsidRPr="003A1FB3">
        <w:rPr>
          <w:sz w:val="22"/>
        </w:rPr>
        <w:t xml:space="preserve">Is testing assay systems covering the </w:t>
      </w:r>
      <w:r w:rsidR="00EC4DAF" w:rsidRPr="003A1FB3">
        <w:rPr>
          <w:sz w:val="22"/>
        </w:rPr>
        <w:t xml:space="preserve">minimal </w:t>
      </w:r>
      <w:r w:rsidRPr="003A1FB3">
        <w:rPr>
          <w:sz w:val="22"/>
        </w:rPr>
        <w:t xml:space="preserve">toxicological effect patterns </w:t>
      </w:r>
      <w:proofErr w:type="gramStart"/>
      <w:r w:rsidRPr="003A1FB3">
        <w:rPr>
          <w:sz w:val="22"/>
        </w:rPr>
        <w:t>sufficient</w:t>
      </w:r>
      <w:proofErr w:type="gramEnd"/>
      <w:r w:rsidRPr="003A1FB3">
        <w:rPr>
          <w:sz w:val="22"/>
        </w:rPr>
        <w:t>?</w:t>
      </w:r>
    </w:p>
    <w:p w14:paraId="5060E04C" w14:textId="381EEB40" w:rsidR="004E3748" w:rsidRPr="003A1FB3" w:rsidRDefault="00EC4DAF" w:rsidP="00487188">
      <w:pPr>
        <w:pStyle w:val="ListParagraph"/>
        <w:numPr>
          <w:ilvl w:val="1"/>
          <w:numId w:val="12"/>
        </w:numPr>
        <w:spacing w:after="120" w:line="288" w:lineRule="auto"/>
        <w:ind w:left="1530" w:hanging="270"/>
        <w:contextualSpacing w:val="0"/>
        <w:jc w:val="both"/>
        <w:rPr>
          <w:sz w:val="22"/>
        </w:rPr>
      </w:pPr>
      <w:r w:rsidRPr="003A1FB3">
        <w:rPr>
          <w:sz w:val="22"/>
        </w:rPr>
        <w:t>S</w:t>
      </w:r>
      <w:r w:rsidR="004E3748" w:rsidRPr="003A1FB3">
        <w:rPr>
          <w:sz w:val="22"/>
        </w:rPr>
        <w:t xml:space="preserve">hould </w:t>
      </w:r>
      <w:r w:rsidRPr="003A1FB3">
        <w:rPr>
          <w:sz w:val="22"/>
        </w:rPr>
        <w:t>test assay systems</w:t>
      </w:r>
      <w:r w:rsidR="004E3748" w:rsidRPr="003A1FB3">
        <w:rPr>
          <w:sz w:val="22"/>
        </w:rPr>
        <w:t xml:space="preserve"> provide evidence that </w:t>
      </w:r>
      <w:r w:rsidRPr="003A1FB3">
        <w:rPr>
          <w:sz w:val="22"/>
        </w:rPr>
        <w:t>other effects than observed for source chemical(s) do not occur</w:t>
      </w:r>
      <w:r w:rsidR="004E3748" w:rsidRPr="003A1FB3">
        <w:rPr>
          <w:sz w:val="22"/>
        </w:rPr>
        <w:t>? Is this needed for scenario 1 as well as for scenario</w:t>
      </w:r>
      <w:r w:rsidR="00487188">
        <w:rPr>
          <w:sz w:val="22"/>
        </w:rPr>
        <w:t> </w:t>
      </w:r>
      <w:r w:rsidR="004E3748" w:rsidRPr="003A1FB3">
        <w:rPr>
          <w:sz w:val="22"/>
        </w:rPr>
        <w:t>2?</w:t>
      </w:r>
    </w:p>
    <w:p w14:paraId="2F89A9DE" w14:textId="64BD3BC2" w:rsidR="004E3748" w:rsidRPr="003A1FB3" w:rsidRDefault="004E3748" w:rsidP="00487188">
      <w:pPr>
        <w:pStyle w:val="ListParagraph"/>
        <w:numPr>
          <w:ilvl w:val="1"/>
          <w:numId w:val="12"/>
        </w:numPr>
        <w:spacing w:after="120" w:line="288" w:lineRule="auto"/>
        <w:ind w:left="1530" w:hanging="270"/>
        <w:contextualSpacing w:val="0"/>
        <w:jc w:val="both"/>
        <w:rPr>
          <w:sz w:val="22"/>
        </w:rPr>
      </w:pPr>
      <w:r w:rsidRPr="003A1FB3">
        <w:rPr>
          <w:sz w:val="22"/>
        </w:rPr>
        <w:t>Supporting evidence: what other effect data (</w:t>
      </w:r>
      <w:r w:rsidR="000457A4" w:rsidRPr="003A1FB3">
        <w:rPr>
          <w:sz w:val="22"/>
        </w:rPr>
        <w:t>e.g. data from other guideline test</w:t>
      </w:r>
      <w:r w:rsidRPr="003A1FB3">
        <w:rPr>
          <w:sz w:val="22"/>
        </w:rPr>
        <w:t xml:space="preserve">) can strengthen the case? </w:t>
      </w:r>
    </w:p>
    <w:p w14:paraId="4F468908" w14:textId="77777777" w:rsidR="004E3748" w:rsidRPr="003A1FB3" w:rsidRDefault="004E3748" w:rsidP="00487188">
      <w:pPr>
        <w:pStyle w:val="ListParagraph"/>
        <w:numPr>
          <w:ilvl w:val="0"/>
          <w:numId w:val="18"/>
        </w:numPr>
        <w:spacing w:after="120" w:line="288" w:lineRule="auto"/>
        <w:ind w:left="1179" w:hanging="272"/>
        <w:contextualSpacing w:val="0"/>
        <w:jc w:val="both"/>
        <w:rPr>
          <w:sz w:val="22"/>
        </w:rPr>
      </w:pPr>
      <w:proofErr w:type="spellStart"/>
      <w:r w:rsidRPr="003A1FB3">
        <w:rPr>
          <w:sz w:val="22"/>
        </w:rPr>
        <w:t>Toxicokinetics</w:t>
      </w:r>
      <w:proofErr w:type="spellEnd"/>
      <w:r w:rsidRPr="003A1FB3">
        <w:rPr>
          <w:sz w:val="22"/>
        </w:rPr>
        <w:t>: is a PBPK model needed for RAX justification or are in vitro toxicokinetic parameters such as plasma protein binding, and intrinsic hepatic clearance sufficient?</w:t>
      </w:r>
    </w:p>
    <w:p w14:paraId="6003DA83" w14:textId="2A83D0E1" w:rsidR="004E3748" w:rsidRPr="003A1FB3" w:rsidRDefault="004E3748" w:rsidP="00487188">
      <w:pPr>
        <w:pStyle w:val="ListParagraph"/>
        <w:numPr>
          <w:ilvl w:val="0"/>
          <w:numId w:val="18"/>
        </w:numPr>
        <w:spacing w:after="120" w:line="288" w:lineRule="auto"/>
        <w:ind w:left="1170" w:hanging="270"/>
        <w:contextualSpacing w:val="0"/>
        <w:jc w:val="both"/>
        <w:rPr>
          <w:sz w:val="22"/>
        </w:rPr>
      </w:pPr>
      <w:r w:rsidRPr="003A1FB3">
        <w:rPr>
          <w:sz w:val="22"/>
        </w:rPr>
        <w:t xml:space="preserve">Metabolism: </w:t>
      </w:r>
      <w:r w:rsidR="00EC4DAF" w:rsidRPr="003A1FB3">
        <w:rPr>
          <w:sz w:val="22"/>
        </w:rPr>
        <w:t>would test system metabolic competence be relevant for concluding on low toxicity potential?</w:t>
      </w:r>
      <w:r w:rsidRPr="003A1FB3">
        <w:rPr>
          <w:sz w:val="22"/>
        </w:rPr>
        <w:t xml:space="preserve"> </w:t>
      </w:r>
    </w:p>
    <w:p w14:paraId="1DF10B67" w14:textId="580F08B4" w:rsidR="00753BA2" w:rsidRPr="003A1FB3" w:rsidRDefault="00753BA2" w:rsidP="00487188">
      <w:pPr>
        <w:pStyle w:val="ListParagraph"/>
        <w:numPr>
          <w:ilvl w:val="0"/>
          <w:numId w:val="18"/>
        </w:numPr>
        <w:spacing w:after="120" w:line="288" w:lineRule="auto"/>
        <w:ind w:left="1191" w:hanging="284"/>
        <w:contextualSpacing w:val="0"/>
        <w:jc w:val="both"/>
        <w:rPr>
          <w:sz w:val="22"/>
        </w:rPr>
      </w:pPr>
      <w:r w:rsidRPr="003A1FB3">
        <w:rPr>
          <w:sz w:val="22"/>
        </w:rPr>
        <w:t>Can omics data to guide hypothesis building and testing?</w:t>
      </w:r>
    </w:p>
    <w:p w14:paraId="5DF569E1" w14:textId="7336FF44" w:rsidR="00884C8E" w:rsidRPr="00CA3FB4" w:rsidRDefault="00884C8E" w:rsidP="00CA3FB4">
      <w:pPr>
        <w:pStyle w:val="ListParagraph"/>
        <w:numPr>
          <w:ilvl w:val="0"/>
          <w:numId w:val="12"/>
        </w:numPr>
        <w:spacing w:before="360" w:after="120" w:line="288" w:lineRule="auto"/>
        <w:ind w:left="714" w:hanging="357"/>
        <w:contextualSpacing w:val="0"/>
        <w:jc w:val="both"/>
        <w:rPr>
          <w:b/>
          <w:sz w:val="22"/>
          <w:u w:val="single"/>
        </w:rPr>
      </w:pPr>
      <w:r w:rsidRPr="00CA3FB4">
        <w:rPr>
          <w:b/>
          <w:sz w:val="22"/>
          <w:u w:val="single"/>
        </w:rPr>
        <w:t xml:space="preserve">When in </w:t>
      </w:r>
      <w:r w:rsidRPr="00CA3FB4">
        <w:rPr>
          <w:b/>
          <w:color w:val="FF0000"/>
          <w:sz w:val="22"/>
          <w:u w:val="single"/>
        </w:rPr>
        <w:t xml:space="preserve">vivo data is </w:t>
      </w:r>
      <w:proofErr w:type="gramStart"/>
      <w:r w:rsidRPr="00CA3FB4">
        <w:rPr>
          <w:b/>
          <w:color w:val="FF0000"/>
          <w:sz w:val="22"/>
          <w:u w:val="single"/>
        </w:rPr>
        <w:t>sparse</w:t>
      </w:r>
      <w:r w:rsidR="00753BA2" w:rsidRPr="00CA3FB4">
        <w:rPr>
          <w:b/>
          <w:color w:val="FF0000"/>
          <w:sz w:val="22"/>
          <w:u w:val="single"/>
        </w:rPr>
        <w:t xml:space="preserve"> ,</w:t>
      </w:r>
      <w:proofErr w:type="gramEnd"/>
      <w:r w:rsidR="00753BA2" w:rsidRPr="00CA3FB4">
        <w:rPr>
          <w:b/>
          <w:color w:val="FF0000"/>
          <w:sz w:val="22"/>
          <w:u w:val="single"/>
        </w:rPr>
        <w:t xml:space="preserve"> </w:t>
      </w:r>
      <w:r w:rsidR="00753BA2" w:rsidRPr="00CA3FB4">
        <w:rPr>
          <w:b/>
          <w:sz w:val="22"/>
          <w:u w:val="single"/>
        </w:rPr>
        <w:t xml:space="preserve">e.g. when there is uncertainty for source compound(s) </w:t>
      </w:r>
      <w:r w:rsidR="00501345" w:rsidRPr="00CA3FB4">
        <w:rPr>
          <w:b/>
          <w:sz w:val="22"/>
          <w:u w:val="single"/>
        </w:rPr>
        <w:t>that all required effects are covered by in vivo data</w:t>
      </w:r>
      <w:r w:rsidR="004D38F8" w:rsidRPr="00CA3FB4">
        <w:rPr>
          <w:b/>
          <w:sz w:val="22"/>
          <w:u w:val="single"/>
        </w:rPr>
        <w:t>.</w:t>
      </w:r>
    </w:p>
    <w:p w14:paraId="164539BB" w14:textId="794ECEE6" w:rsidR="004571D6" w:rsidRPr="00E721D5" w:rsidRDefault="00567AC4" w:rsidP="00E721D5">
      <w:pPr>
        <w:pStyle w:val="ListParagraph"/>
        <w:numPr>
          <w:ilvl w:val="0"/>
          <w:numId w:val="6"/>
        </w:numPr>
        <w:spacing w:after="120" w:line="288" w:lineRule="auto"/>
        <w:ind w:left="1179" w:hanging="272"/>
        <w:contextualSpacing w:val="0"/>
        <w:jc w:val="both"/>
        <w:rPr>
          <w:sz w:val="22"/>
        </w:rPr>
      </w:pPr>
      <w:r w:rsidRPr="00E721D5">
        <w:rPr>
          <w:sz w:val="22"/>
        </w:rPr>
        <w:t xml:space="preserve">How can NAMs </w:t>
      </w:r>
      <w:r w:rsidR="004571D6" w:rsidRPr="00E721D5">
        <w:rPr>
          <w:sz w:val="22"/>
        </w:rPr>
        <w:t>help establish the RAX case?</w:t>
      </w:r>
    </w:p>
    <w:p w14:paraId="5F645180" w14:textId="5134186E" w:rsidR="002C756A" w:rsidRPr="00E721D5" w:rsidRDefault="002C756A" w:rsidP="00E721D5">
      <w:pPr>
        <w:pStyle w:val="ListParagraph"/>
        <w:numPr>
          <w:ilvl w:val="0"/>
          <w:numId w:val="6"/>
        </w:numPr>
        <w:spacing w:after="120" w:line="288" w:lineRule="auto"/>
        <w:ind w:left="1179" w:hanging="272"/>
        <w:contextualSpacing w:val="0"/>
        <w:jc w:val="both"/>
        <w:rPr>
          <w:sz w:val="22"/>
        </w:rPr>
      </w:pPr>
      <w:r w:rsidRPr="00E721D5">
        <w:rPr>
          <w:sz w:val="22"/>
        </w:rPr>
        <w:t>In the context of RAX what does sufficient evidence of no effect equate to in pragmatic testing terms.</w:t>
      </w:r>
    </w:p>
    <w:p w14:paraId="569A0867" w14:textId="2C0C3143" w:rsidR="002C756A" w:rsidRPr="00E721D5" w:rsidRDefault="002C756A" w:rsidP="00E721D5">
      <w:pPr>
        <w:pStyle w:val="ListParagraph"/>
        <w:numPr>
          <w:ilvl w:val="0"/>
          <w:numId w:val="6"/>
        </w:numPr>
        <w:spacing w:after="120" w:line="288" w:lineRule="auto"/>
        <w:ind w:left="1179" w:hanging="272"/>
        <w:contextualSpacing w:val="0"/>
        <w:jc w:val="both"/>
        <w:rPr>
          <w:sz w:val="22"/>
        </w:rPr>
      </w:pPr>
      <w:r w:rsidRPr="00E721D5">
        <w:rPr>
          <w:sz w:val="22"/>
        </w:rPr>
        <w:t xml:space="preserve">What other evidence would give reassurance of an absence of other ‘unexpected’ effects? For </w:t>
      </w:r>
      <w:r w:rsidR="001212C7" w:rsidRPr="00E721D5">
        <w:rPr>
          <w:sz w:val="22"/>
        </w:rPr>
        <w:t>example,</w:t>
      </w:r>
      <w:r w:rsidRPr="00E721D5">
        <w:rPr>
          <w:sz w:val="22"/>
        </w:rPr>
        <w:t xml:space="preserve"> when and when not can screening of potential mechanism of toxicity by in vitro transcriptomics data provide reassurance?</w:t>
      </w:r>
    </w:p>
    <w:p w14:paraId="2C9A0FE7" w14:textId="1FEBBE07" w:rsidR="009F2472" w:rsidRPr="004D38F8" w:rsidRDefault="000457A4" w:rsidP="00CA3FB4">
      <w:pPr>
        <w:pStyle w:val="ListParagraph"/>
        <w:numPr>
          <w:ilvl w:val="0"/>
          <w:numId w:val="12"/>
        </w:numPr>
        <w:spacing w:before="360" w:after="120" w:line="288" w:lineRule="auto"/>
        <w:ind w:left="714" w:hanging="357"/>
        <w:contextualSpacing w:val="0"/>
        <w:jc w:val="both"/>
        <w:rPr>
          <w:b/>
          <w:u w:val="single"/>
        </w:rPr>
      </w:pPr>
      <w:r>
        <w:rPr>
          <w:b/>
        </w:rPr>
        <w:t xml:space="preserve"> </w:t>
      </w:r>
      <w:r w:rsidRPr="00CA3FB4">
        <w:rPr>
          <w:b/>
          <w:sz w:val="22"/>
          <w:u w:val="single"/>
        </w:rPr>
        <w:t>Use of additional safety factors</w:t>
      </w:r>
      <w:r w:rsidR="004D38F8" w:rsidRPr="00CA3FB4">
        <w:rPr>
          <w:b/>
          <w:sz w:val="22"/>
          <w:u w:val="single"/>
        </w:rPr>
        <w:t>.</w:t>
      </w:r>
    </w:p>
    <w:p w14:paraId="2D00EC05" w14:textId="78AD87A4" w:rsidR="00884C8E" w:rsidRPr="00077012" w:rsidRDefault="007A1E39" w:rsidP="00E721D5">
      <w:pPr>
        <w:pStyle w:val="ListParagraph"/>
        <w:numPr>
          <w:ilvl w:val="0"/>
          <w:numId w:val="8"/>
        </w:numPr>
        <w:spacing w:after="120" w:line="288" w:lineRule="auto"/>
        <w:ind w:left="1174" w:hanging="272"/>
        <w:contextualSpacing w:val="0"/>
        <w:jc w:val="both"/>
        <w:rPr>
          <w:sz w:val="22"/>
        </w:rPr>
      </w:pPr>
      <w:r w:rsidRPr="00077012">
        <w:rPr>
          <w:sz w:val="22"/>
        </w:rPr>
        <w:t xml:space="preserve">Could additional safety factors or other estimates that quantify the predicted uncertainty be applied, such that </w:t>
      </w:r>
      <w:proofErr w:type="gramStart"/>
      <w:r w:rsidRPr="00077012">
        <w:rPr>
          <w:sz w:val="22"/>
        </w:rPr>
        <w:t>sufficient</w:t>
      </w:r>
      <w:proofErr w:type="gramEnd"/>
      <w:r w:rsidRPr="00077012">
        <w:rPr>
          <w:sz w:val="22"/>
        </w:rPr>
        <w:t xml:space="preserve"> confidence could still be given for a specific risk assessment scenario</w:t>
      </w:r>
      <w:r w:rsidR="0001698C" w:rsidRPr="00077012">
        <w:rPr>
          <w:sz w:val="22"/>
        </w:rPr>
        <w:t>?</w:t>
      </w:r>
    </w:p>
    <w:p w14:paraId="624327D2" w14:textId="3A4BFA1F" w:rsidR="005C75FA" w:rsidRDefault="007A1E39" w:rsidP="00E721D5">
      <w:pPr>
        <w:pStyle w:val="ListParagraph"/>
        <w:numPr>
          <w:ilvl w:val="0"/>
          <w:numId w:val="8"/>
        </w:numPr>
        <w:spacing w:after="120" w:line="288" w:lineRule="auto"/>
        <w:ind w:left="1174" w:hanging="272"/>
        <w:contextualSpacing w:val="0"/>
        <w:jc w:val="both"/>
        <w:rPr>
          <w:sz w:val="22"/>
        </w:rPr>
      </w:pPr>
      <w:r w:rsidRPr="00077012">
        <w:rPr>
          <w:sz w:val="22"/>
        </w:rPr>
        <w:t>To which components could or should this be appropriately applied to</w:t>
      </w:r>
      <w:r w:rsidR="0001698C" w:rsidRPr="00077012">
        <w:rPr>
          <w:sz w:val="22"/>
        </w:rPr>
        <w:t>?</w:t>
      </w:r>
    </w:p>
    <w:p w14:paraId="0FC74052" w14:textId="5088F130" w:rsidR="00B951B8" w:rsidRDefault="00B951B8">
      <w:pPr>
        <w:rPr>
          <w:sz w:val="22"/>
        </w:rPr>
      </w:pPr>
      <w:r>
        <w:rPr>
          <w:sz w:val="22"/>
        </w:rPr>
        <w:br w:type="page"/>
      </w:r>
    </w:p>
    <w:p w14:paraId="62D4E109" w14:textId="77777777" w:rsidR="00D55573" w:rsidRPr="00D55573" w:rsidRDefault="00D55573" w:rsidP="00D55573">
      <w:pPr>
        <w:shd w:val="clear" w:color="auto" w:fill="FBE4D5" w:themeFill="accent2" w:themeFillTint="33"/>
        <w:tabs>
          <w:tab w:val="left" w:pos="360"/>
        </w:tabs>
        <w:ind w:left="357" w:hanging="357"/>
        <w:jc w:val="both"/>
        <w:rPr>
          <w:b/>
          <w:sz w:val="8"/>
          <w:szCs w:val="8"/>
          <w:u w:val="single"/>
        </w:rPr>
      </w:pPr>
    </w:p>
    <w:p w14:paraId="7A10990C" w14:textId="5D5693D6" w:rsidR="00501345" w:rsidRDefault="00501345" w:rsidP="00D55573">
      <w:pPr>
        <w:shd w:val="clear" w:color="auto" w:fill="FBE4D5" w:themeFill="accent2" w:themeFillTint="33"/>
        <w:tabs>
          <w:tab w:val="left" w:pos="360"/>
        </w:tabs>
        <w:ind w:left="357" w:hanging="357"/>
        <w:jc w:val="both"/>
        <w:rPr>
          <w:b/>
          <w:u w:val="single"/>
          <w:shd w:val="clear" w:color="auto" w:fill="FBE4D5" w:themeFill="accent2" w:themeFillTint="33"/>
        </w:rPr>
      </w:pPr>
      <w:r w:rsidRPr="00E721D5">
        <w:rPr>
          <w:b/>
          <w:u w:val="single"/>
        </w:rPr>
        <w:t xml:space="preserve">III. </w:t>
      </w:r>
      <w:r w:rsidRPr="00E721D5">
        <w:rPr>
          <w:b/>
          <w:u w:val="single"/>
        </w:rPr>
        <w:tab/>
        <w:t xml:space="preserve">What data integration and </w:t>
      </w:r>
      <w:r w:rsidRPr="006F1E62">
        <w:rPr>
          <w:b/>
          <w:u w:val="single"/>
          <w:shd w:val="clear" w:color="auto" w:fill="FBE4D5" w:themeFill="accent2" w:themeFillTint="33"/>
        </w:rPr>
        <w:t>analysis are required?</w:t>
      </w:r>
    </w:p>
    <w:p w14:paraId="5D725919" w14:textId="77777777" w:rsidR="00D55573" w:rsidRPr="00D55573" w:rsidRDefault="00D55573" w:rsidP="00D55573">
      <w:pPr>
        <w:shd w:val="clear" w:color="auto" w:fill="FBE4D5" w:themeFill="accent2" w:themeFillTint="33"/>
        <w:tabs>
          <w:tab w:val="left" w:pos="360"/>
        </w:tabs>
        <w:ind w:left="357" w:hanging="357"/>
        <w:jc w:val="both"/>
        <w:rPr>
          <w:b/>
          <w:sz w:val="8"/>
          <w:szCs w:val="8"/>
          <w:u w:val="single"/>
        </w:rPr>
      </w:pPr>
    </w:p>
    <w:p w14:paraId="69CC6A40" w14:textId="686D8355" w:rsidR="00501345" w:rsidRPr="009A3736" w:rsidRDefault="00501345" w:rsidP="00D55573">
      <w:pPr>
        <w:spacing w:before="240" w:after="120" w:line="288" w:lineRule="auto"/>
        <w:jc w:val="both"/>
        <w:rPr>
          <w:sz w:val="22"/>
        </w:rPr>
      </w:pPr>
      <w:r w:rsidRPr="009A3736">
        <w:rPr>
          <w:sz w:val="22"/>
        </w:rPr>
        <w:t xml:space="preserve">Clearly, building hazard assessments on a battery of individual test systems also requires new tools to integrate the data that is obtained this way, and to qualify and quantify the associated uncertainty that is intrinsic to every test model per se. This also applies to the incorporation of </w:t>
      </w:r>
      <w:proofErr w:type="spellStart"/>
      <w:r w:rsidRPr="009A3736">
        <w:rPr>
          <w:sz w:val="22"/>
        </w:rPr>
        <w:t>toxico</w:t>
      </w:r>
      <w:proofErr w:type="spellEnd"/>
      <w:r w:rsidRPr="009A3736">
        <w:rPr>
          <w:sz w:val="22"/>
        </w:rPr>
        <w:t>-dynamic as well as -kinetic concepts and models that represents an integrated part of the hazard characterization approach.</w:t>
      </w:r>
    </w:p>
    <w:p w14:paraId="5A979F0A" w14:textId="41AF7D4B" w:rsidR="006770FA" w:rsidRPr="00D55573" w:rsidRDefault="00501345" w:rsidP="001016F8">
      <w:pPr>
        <w:pStyle w:val="ListParagraph"/>
        <w:numPr>
          <w:ilvl w:val="0"/>
          <w:numId w:val="17"/>
        </w:numPr>
        <w:spacing w:after="360" w:line="288" w:lineRule="auto"/>
        <w:ind w:left="1134" w:hanging="232"/>
        <w:contextualSpacing w:val="0"/>
        <w:jc w:val="both"/>
        <w:rPr>
          <w:sz w:val="22"/>
        </w:rPr>
      </w:pPr>
      <w:r w:rsidRPr="009A3736">
        <w:rPr>
          <w:sz w:val="22"/>
        </w:rPr>
        <w:t>How should data from different NAMs, i.e. in vitro test data, and (validated) TK calculations be integrated? Would a decision tool like Dempster Shafer, that quantifies uncertainty and trust, be of help here?</w:t>
      </w:r>
    </w:p>
    <w:p w14:paraId="3001FC89" w14:textId="77777777" w:rsidR="00BC7223" w:rsidRPr="00BC7223" w:rsidRDefault="00BC7223" w:rsidP="00D55573">
      <w:pPr>
        <w:shd w:val="clear" w:color="auto" w:fill="F7CAAC" w:themeFill="accent2" w:themeFillTint="66"/>
        <w:jc w:val="both"/>
        <w:rPr>
          <w:b/>
          <w:sz w:val="8"/>
        </w:rPr>
      </w:pPr>
      <w:bookmarkStart w:id="1" w:name="_Hlk7789767"/>
    </w:p>
    <w:p w14:paraId="456143F4" w14:textId="1CD5B987" w:rsidR="006770FA" w:rsidRDefault="00B80F23" w:rsidP="002A09A0">
      <w:pPr>
        <w:shd w:val="clear" w:color="auto" w:fill="F7CAAC" w:themeFill="accent2" w:themeFillTint="66"/>
        <w:jc w:val="both"/>
        <w:rPr>
          <w:b/>
          <w:sz w:val="28"/>
        </w:rPr>
      </w:pPr>
      <w:r w:rsidRPr="009A3736">
        <w:rPr>
          <w:b/>
          <w:sz w:val="28"/>
        </w:rPr>
        <w:t>CASE-STUDY SPECIFIC TOPICS</w:t>
      </w:r>
      <w:bookmarkEnd w:id="1"/>
    </w:p>
    <w:p w14:paraId="17CF4524" w14:textId="77777777" w:rsidR="00BC7223" w:rsidRPr="00BC7223" w:rsidRDefault="00BC7223" w:rsidP="00D55573">
      <w:pPr>
        <w:shd w:val="clear" w:color="auto" w:fill="F7CAAC" w:themeFill="accent2" w:themeFillTint="66"/>
        <w:jc w:val="both"/>
        <w:rPr>
          <w:b/>
          <w:sz w:val="8"/>
          <w:szCs w:val="8"/>
        </w:rPr>
      </w:pPr>
    </w:p>
    <w:p w14:paraId="5EF49E28" w14:textId="77777777" w:rsidR="00E839C0" w:rsidRPr="00C12494" w:rsidRDefault="00E839C0" w:rsidP="00DE235D">
      <w:pPr>
        <w:spacing w:before="240"/>
        <w:jc w:val="both"/>
        <w:rPr>
          <w:b/>
        </w:rPr>
      </w:pPr>
      <w:r w:rsidRPr="00C12494">
        <w:rPr>
          <w:b/>
        </w:rPr>
        <w:t xml:space="preserve">Do you support the way that NAMs have been applied in this RAX case study? </w:t>
      </w:r>
    </w:p>
    <w:p w14:paraId="421EC6B0" w14:textId="7913D60B" w:rsidR="00E839C0" w:rsidRPr="00DE235D" w:rsidRDefault="00E839C0" w:rsidP="00DE235D">
      <w:pPr>
        <w:spacing w:before="120" w:line="288" w:lineRule="auto"/>
        <w:jc w:val="both"/>
        <w:rPr>
          <w:sz w:val="22"/>
        </w:rPr>
      </w:pPr>
      <w:r w:rsidRPr="00DE235D">
        <w:rPr>
          <w:sz w:val="22"/>
        </w:rPr>
        <w:t>If yes, why do you support (what are the factors that provide confidence</w:t>
      </w:r>
      <w:r w:rsidR="00207C3D" w:rsidRPr="00DE235D">
        <w:rPr>
          <w:sz w:val="22"/>
        </w:rPr>
        <w:t>)</w:t>
      </w:r>
      <w:r w:rsidRPr="00DE235D">
        <w:rPr>
          <w:sz w:val="22"/>
        </w:rPr>
        <w:t xml:space="preserve">?  </w:t>
      </w:r>
    </w:p>
    <w:p w14:paraId="4E28A248" w14:textId="244727DD" w:rsidR="00E839C0" w:rsidRPr="00DE235D" w:rsidRDefault="00E839C0" w:rsidP="00DE235D">
      <w:pPr>
        <w:spacing w:after="120" w:line="288" w:lineRule="auto"/>
        <w:jc w:val="both"/>
        <w:rPr>
          <w:sz w:val="22"/>
        </w:rPr>
      </w:pPr>
      <w:r w:rsidRPr="00DE235D">
        <w:rPr>
          <w:sz w:val="22"/>
        </w:rPr>
        <w:t>If no, why do you not support (what are the factors that lead to uncertainty)?</w:t>
      </w:r>
    </w:p>
    <w:p w14:paraId="58D10A9F" w14:textId="66915E96" w:rsidR="00381E43" w:rsidRPr="00DE235D" w:rsidRDefault="00381E43" w:rsidP="00BA2752">
      <w:pPr>
        <w:spacing w:line="288" w:lineRule="auto"/>
        <w:jc w:val="both"/>
        <w:rPr>
          <w:sz w:val="22"/>
        </w:rPr>
      </w:pPr>
    </w:p>
    <w:p w14:paraId="2FBC02DD" w14:textId="4DEA0DA7" w:rsidR="00C12494" w:rsidRPr="007256B2" w:rsidRDefault="00381E43" w:rsidP="007256B2">
      <w:pPr>
        <w:spacing w:before="120" w:after="120" w:line="288" w:lineRule="auto"/>
        <w:jc w:val="both"/>
        <w:rPr>
          <w:sz w:val="22"/>
        </w:rPr>
      </w:pPr>
      <w:r w:rsidRPr="00DE235D">
        <w:rPr>
          <w:sz w:val="22"/>
        </w:rPr>
        <w:t>Additional case study specific topics may be brought in and discussed.</w:t>
      </w:r>
    </w:p>
    <w:sectPr w:rsidR="00C12494" w:rsidRPr="007256B2" w:rsidSect="00ED6D95">
      <w:headerReference w:type="default" r:id="rId8"/>
      <w:footerReference w:type="default" r:id="rId9"/>
      <w:pgSz w:w="11900" w:h="16840" w:code="9"/>
      <w:pgMar w:top="1588" w:right="1440" w:bottom="158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FA89E" w14:textId="77777777" w:rsidR="00F5283B" w:rsidRDefault="00F5283B" w:rsidP="00BE6F2E">
      <w:r>
        <w:separator/>
      </w:r>
    </w:p>
  </w:endnote>
  <w:endnote w:type="continuationSeparator" w:id="0">
    <w:p w14:paraId="2FCB25E0" w14:textId="77777777" w:rsidR="00F5283B" w:rsidRDefault="00F5283B" w:rsidP="00BE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9EAC" w14:textId="77777777" w:rsidR="00762CF5" w:rsidRPr="00762CF5" w:rsidRDefault="00762CF5" w:rsidP="00762CF5">
    <w:pPr>
      <w:pBdr>
        <w:top w:val="single" w:sz="4" w:space="1" w:color="ED710E"/>
      </w:pBdr>
      <w:rPr>
        <w:sz w:val="8"/>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036"/>
    </w:tblGrid>
    <w:tr w:rsidR="00762CF5" w:rsidRPr="0088619F" w14:paraId="5930612A" w14:textId="77777777" w:rsidTr="00762CF5">
      <w:tc>
        <w:tcPr>
          <w:tcW w:w="1842" w:type="dxa"/>
        </w:tcPr>
        <w:p w14:paraId="2756C4EE" w14:textId="77777777" w:rsidR="00762CF5" w:rsidRPr="0088619F" w:rsidRDefault="00762CF5" w:rsidP="00762CF5">
          <w:pPr>
            <w:pStyle w:val="Footer"/>
            <w:jc w:val="center"/>
            <w:rPr>
              <w:rFonts w:ascii="Calibri" w:hAnsi="Calibri" w:cs="Calibri"/>
              <w:i/>
              <w:sz w:val="20"/>
            </w:rPr>
          </w:pPr>
          <w:r w:rsidRPr="0088619F">
            <w:rPr>
              <w:rFonts w:ascii="Calibri" w:hAnsi="Calibri" w:cs="Calibri"/>
              <w:noProof/>
              <w:lang w:val="de-DE" w:eastAsia="de-DE"/>
            </w:rPr>
            <w:drawing>
              <wp:anchor distT="0" distB="0" distL="114300" distR="114300" simplePos="0" relativeHeight="251659264" behindDoc="0" locked="0" layoutInCell="1" allowOverlap="1" wp14:anchorId="300C80D2" wp14:editId="79BA7799">
                <wp:simplePos x="0" y="0"/>
                <wp:positionH relativeFrom="margin">
                  <wp:posOffset>-57150</wp:posOffset>
                </wp:positionH>
                <wp:positionV relativeFrom="paragraph">
                  <wp:posOffset>10857</wp:posOffset>
                </wp:positionV>
                <wp:extent cx="1011774" cy="285750"/>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rotWithShape="1">
                        <a:blip r:embed="rId1" cstate="print">
                          <a:extLst>
                            <a:ext uri="{28A0092B-C50C-407E-A947-70E740481C1C}">
                              <a14:useLocalDpi xmlns:a14="http://schemas.microsoft.com/office/drawing/2010/main" val="0"/>
                            </a:ext>
                          </a:extLst>
                        </a:blip>
                        <a:srcRect l="1195" t="2666" r="1271" b="3555"/>
                        <a:stretch/>
                      </pic:blipFill>
                      <pic:spPr>
                        <a:xfrm>
                          <a:off x="0" y="0"/>
                          <a:ext cx="1011774" cy="285750"/>
                        </a:xfrm>
                        <a:prstGeom prst="rect">
                          <a:avLst/>
                        </a:prstGeom>
                      </pic:spPr>
                    </pic:pic>
                  </a:graphicData>
                </a:graphic>
                <wp14:sizeRelH relativeFrom="margin">
                  <wp14:pctWidth>0</wp14:pctWidth>
                </wp14:sizeRelH>
                <wp14:sizeRelV relativeFrom="margin">
                  <wp14:pctHeight>0</wp14:pctHeight>
                </wp14:sizeRelV>
              </wp:anchor>
            </w:drawing>
          </w:r>
        </w:p>
      </w:tc>
      <w:tc>
        <w:tcPr>
          <w:tcW w:w="7036" w:type="dxa"/>
        </w:tcPr>
        <w:p w14:paraId="46CD9DED" w14:textId="77777777" w:rsidR="00762CF5" w:rsidRPr="0088619F" w:rsidRDefault="00762CF5" w:rsidP="00762CF5">
          <w:pPr>
            <w:pStyle w:val="Footer"/>
            <w:rPr>
              <w:rFonts w:ascii="Calibri" w:hAnsi="Calibri" w:cs="Calibri"/>
              <w:i/>
              <w:sz w:val="20"/>
            </w:rPr>
          </w:pPr>
          <w:r w:rsidRPr="0088619F">
            <w:rPr>
              <w:rFonts w:ascii="Calibri" w:hAnsi="Calibri" w:cs="Calibri"/>
              <w:i/>
              <w:sz w:val="20"/>
            </w:rPr>
            <w:t>This project has received funding from the European Union’s Horizon 2020 Research and Innovation programme under Grant Agreement no. 681002.</w:t>
          </w:r>
        </w:p>
      </w:tc>
    </w:tr>
  </w:tbl>
  <w:p w14:paraId="49429E38" w14:textId="77777777" w:rsidR="00762CF5" w:rsidRPr="00762CF5" w:rsidRDefault="00762CF5">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0926D" w14:textId="77777777" w:rsidR="00F5283B" w:rsidRDefault="00F5283B" w:rsidP="00BE6F2E">
      <w:r>
        <w:separator/>
      </w:r>
    </w:p>
  </w:footnote>
  <w:footnote w:type="continuationSeparator" w:id="0">
    <w:p w14:paraId="785B9AFF" w14:textId="77777777" w:rsidR="00F5283B" w:rsidRDefault="00F5283B" w:rsidP="00BE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9B0F2" w14:textId="21D71DEA" w:rsidR="00B7640B" w:rsidRPr="00367017" w:rsidRDefault="00B7640B" w:rsidP="00B7640B">
    <w:pPr>
      <w:pStyle w:val="Header"/>
      <w:rPr>
        <w:sz w:val="20"/>
        <w:szCs w:val="21"/>
      </w:rPr>
    </w:pPr>
    <w:r w:rsidRPr="00367017">
      <w:rPr>
        <w:sz w:val="20"/>
        <w:szCs w:val="21"/>
      </w:rPr>
      <w:t xml:space="preserve">EU-ToxRisk workshop on NAM-supported Read-Across </w:t>
    </w:r>
    <w:r w:rsidRPr="00367017">
      <w:rPr>
        <w:sz w:val="20"/>
        <w:szCs w:val="21"/>
      </w:rPr>
      <w:tab/>
    </w:r>
    <w:r w:rsidR="00367017">
      <w:rPr>
        <w:sz w:val="20"/>
        <w:szCs w:val="21"/>
      </w:rPr>
      <w:tab/>
    </w:r>
    <w:r w:rsidRPr="00367017">
      <w:rPr>
        <w:sz w:val="20"/>
        <w:szCs w:val="21"/>
      </w:rPr>
      <w:t>21-22/23 May 2019</w:t>
    </w:r>
  </w:p>
  <w:p w14:paraId="0383406A" w14:textId="6B163751" w:rsidR="00B7640B" w:rsidRPr="00367017" w:rsidRDefault="00B7640B" w:rsidP="00B7640B">
    <w:pPr>
      <w:pStyle w:val="Header"/>
      <w:pBdr>
        <w:bottom w:val="single" w:sz="4" w:space="1" w:color="ED710E"/>
      </w:pBdr>
      <w:rPr>
        <w:sz w:val="20"/>
        <w:szCs w:val="21"/>
      </w:rPr>
    </w:pPr>
    <w:r w:rsidRPr="00367017">
      <w:rPr>
        <w:sz w:val="20"/>
        <w:szCs w:val="21"/>
      </w:rPr>
      <w:tab/>
    </w:r>
    <w:r w:rsidRPr="00367017">
      <w:rPr>
        <w:sz w:val="20"/>
        <w:szCs w:val="21"/>
      </w:rPr>
      <w:tab/>
      <w:t>Espoo, Finland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8F6"/>
    <w:multiLevelType w:val="hybridMultilevel"/>
    <w:tmpl w:val="AABC87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32B96"/>
    <w:multiLevelType w:val="hybridMultilevel"/>
    <w:tmpl w:val="AABC87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A5814"/>
    <w:multiLevelType w:val="hybridMultilevel"/>
    <w:tmpl w:val="E72C4A54"/>
    <w:lvl w:ilvl="0" w:tplc="0409001B">
      <w:start w:val="1"/>
      <w:numFmt w:val="lowerRoman"/>
      <w:lvlText w:val="%1."/>
      <w:lvlJc w:val="righ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8B228D"/>
    <w:multiLevelType w:val="hybridMultilevel"/>
    <w:tmpl w:val="83B8B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E96EA0"/>
    <w:multiLevelType w:val="hybridMultilevel"/>
    <w:tmpl w:val="8AA66732"/>
    <w:lvl w:ilvl="0" w:tplc="0413001B">
      <w:start w:val="1"/>
      <w:numFmt w:val="lowerRoman"/>
      <w:lvlText w:val="%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5D086B"/>
    <w:multiLevelType w:val="hybridMultilevel"/>
    <w:tmpl w:val="770C82AC"/>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D6066CD"/>
    <w:multiLevelType w:val="hybridMultilevel"/>
    <w:tmpl w:val="577A4362"/>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7" w15:restartNumberingAfterBreak="0">
    <w:nsid w:val="2F9F2FE4"/>
    <w:multiLevelType w:val="hybridMultilevel"/>
    <w:tmpl w:val="E72C4A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F4D45"/>
    <w:multiLevelType w:val="hybridMultilevel"/>
    <w:tmpl w:val="479A42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31529"/>
    <w:multiLevelType w:val="hybridMultilevel"/>
    <w:tmpl w:val="E72C4A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61CAF"/>
    <w:multiLevelType w:val="hybridMultilevel"/>
    <w:tmpl w:val="1B78214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D32637"/>
    <w:multiLevelType w:val="hybridMultilevel"/>
    <w:tmpl w:val="884E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84B77"/>
    <w:multiLevelType w:val="hybridMultilevel"/>
    <w:tmpl w:val="B6128660"/>
    <w:lvl w:ilvl="0" w:tplc="04070011">
      <w:start w:val="1"/>
      <w:numFmt w:val="decimal"/>
      <w:lvlText w:val="%1)"/>
      <w:lvlJc w:val="left"/>
      <w:pPr>
        <w:ind w:left="644"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04474E8"/>
    <w:multiLevelType w:val="hybridMultilevel"/>
    <w:tmpl w:val="65E69B00"/>
    <w:lvl w:ilvl="0" w:tplc="0409001B">
      <w:start w:val="1"/>
      <w:numFmt w:val="lowerRoman"/>
      <w:lvlText w:val="%1."/>
      <w:lvlJc w:val="right"/>
      <w:pPr>
        <w:ind w:left="1725" w:hanging="360"/>
      </w:p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4" w15:restartNumberingAfterBreak="0">
    <w:nsid w:val="59AC74FD"/>
    <w:multiLevelType w:val="hybridMultilevel"/>
    <w:tmpl w:val="C2F82F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C501F"/>
    <w:multiLevelType w:val="hybridMultilevel"/>
    <w:tmpl w:val="36B8941E"/>
    <w:lvl w:ilvl="0" w:tplc="B066EEA0">
      <w:start w:val="1"/>
      <w:numFmt w:val="lowerRoman"/>
      <w:lvlText w:val="%1."/>
      <w:lvlJc w:val="right"/>
      <w:pPr>
        <w:ind w:left="1440" w:hanging="360"/>
      </w:pPr>
      <w:rPr>
        <w:b w:val="0"/>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6A4E7684"/>
    <w:multiLevelType w:val="hybridMultilevel"/>
    <w:tmpl w:val="ED72C97C"/>
    <w:lvl w:ilvl="0" w:tplc="0413001B">
      <w:start w:val="1"/>
      <w:numFmt w:val="low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664332E"/>
    <w:multiLevelType w:val="hybridMultilevel"/>
    <w:tmpl w:val="2FD20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2D4F31"/>
    <w:multiLevelType w:val="hybridMultilevel"/>
    <w:tmpl w:val="2FA2C05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5C242B"/>
    <w:multiLevelType w:val="hybridMultilevel"/>
    <w:tmpl w:val="EC6215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FF64BC3"/>
    <w:multiLevelType w:val="hybridMultilevel"/>
    <w:tmpl w:val="8B68AD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8"/>
  </w:num>
  <w:num w:numId="4">
    <w:abstractNumId w:val="9"/>
  </w:num>
  <w:num w:numId="5">
    <w:abstractNumId w:val="1"/>
  </w:num>
  <w:num w:numId="6">
    <w:abstractNumId w:val="14"/>
  </w:num>
  <w:num w:numId="7">
    <w:abstractNumId w:val="20"/>
  </w:num>
  <w:num w:numId="8">
    <w:abstractNumId w:val="0"/>
  </w:num>
  <w:num w:numId="9">
    <w:abstractNumId w:val="12"/>
  </w:num>
  <w:num w:numId="10">
    <w:abstractNumId w:val="2"/>
  </w:num>
  <w:num w:numId="11">
    <w:abstractNumId w:val="19"/>
  </w:num>
  <w:num w:numId="12">
    <w:abstractNumId w:val="18"/>
  </w:num>
  <w:num w:numId="13">
    <w:abstractNumId w:val="10"/>
  </w:num>
  <w:num w:numId="14">
    <w:abstractNumId w:val="6"/>
  </w:num>
  <w:num w:numId="15">
    <w:abstractNumId w:val="15"/>
  </w:num>
  <w:num w:numId="16">
    <w:abstractNumId w:val="16"/>
  </w:num>
  <w:num w:numId="17">
    <w:abstractNumId w:val="7"/>
  </w:num>
  <w:num w:numId="18">
    <w:abstractNumId w:val="5"/>
  </w:num>
  <w:num w:numId="19">
    <w:abstractNumId w:val="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43"/>
    <w:rsid w:val="00004797"/>
    <w:rsid w:val="0001698C"/>
    <w:rsid w:val="00016DB0"/>
    <w:rsid w:val="00020728"/>
    <w:rsid w:val="00026E91"/>
    <w:rsid w:val="00030FE2"/>
    <w:rsid w:val="000457A4"/>
    <w:rsid w:val="00060C9D"/>
    <w:rsid w:val="00066761"/>
    <w:rsid w:val="00077012"/>
    <w:rsid w:val="00097D8B"/>
    <w:rsid w:val="000C4568"/>
    <w:rsid w:val="000C4F71"/>
    <w:rsid w:val="000D2937"/>
    <w:rsid w:val="000E7224"/>
    <w:rsid w:val="001016F8"/>
    <w:rsid w:val="001212C7"/>
    <w:rsid w:val="00167C4A"/>
    <w:rsid w:val="00187CC3"/>
    <w:rsid w:val="001B6AE8"/>
    <w:rsid w:val="001C20E4"/>
    <w:rsid w:val="001D1143"/>
    <w:rsid w:val="001D25BC"/>
    <w:rsid w:val="001E11ED"/>
    <w:rsid w:val="001F1E97"/>
    <w:rsid w:val="00207C3D"/>
    <w:rsid w:val="00233176"/>
    <w:rsid w:val="00247C90"/>
    <w:rsid w:val="00252726"/>
    <w:rsid w:val="002654FE"/>
    <w:rsid w:val="002864C8"/>
    <w:rsid w:val="00287435"/>
    <w:rsid w:val="002A09A0"/>
    <w:rsid w:val="002A0C19"/>
    <w:rsid w:val="002B5EF9"/>
    <w:rsid w:val="002C756A"/>
    <w:rsid w:val="002D5C35"/>
    <w:rsid w:val="003153C1"/>
    <w:rsid w:val="00320792"/>
    <w:rsid w:val="00320B18"/>
    <w:rsid w:val="00327255"/>
    <w:rsid w:val="00357480"/>
    <w:rsid w:val="00365458"/>
    <w:rsid w:val="00367017"/>
    <w:rsid w:val="00374AFA"/>
    <w:rsid w:val="0038173F"/>
    <w:rsid w:val="00381E43"/>
    <w:rsid w:val="003A1FB3"/>
    <w:rsid w:val="003B2618"/>
    <w:rsid w:val="003E7C3A"/>
    <w:rsid w:val="003F2E6D"/>
    <w:rsid w:val="00407C3B"/>
    <w:rsid w:val="00417166"/>
    <w:rsid w:val="004239FC"/>
    <w:rsid w:val="00434DEC"/>
    <w:rsid w:val="00437BEC"/>
    <w:rsid w:val="00445AA9"/>
    <w:rsid w:val="00446DBE"/>
    <w:rsid w:val="004571D6"/>
    <w:rsid w:val="0046116F"/>
    <w:rsid w:val="00476ADF"/>
    <w:rsid w:val="00480642"/>
    <w:rsid w:val="0048311E"/>
    <w:rsid w:val="00487188"/>
    <w:rsid w:val="004A40E0"/>
    <w:rsid w:val="004D38F8"/>
    <w:rsid w:val="004D67A9"/>
    <w:rsid w:val="004E3748"/>
    <w:rsid w:val="004E5929"/>
    <w:rsid w:val="004F38A8"/>
    <w:rsid w:val="00501345"/>
    <w:rsid w:val="00525146"/>
    <w:rsid w:val="00545C99"/>
    <w:rsid w:val="005512F3"/>
    <w:rsid w:val="0055134C"/>
    <w:rsid w:val="00567AC4"/>
    <w:rsid w:val="00577442"/>
    <w:rsid w:val="005A15BA"/>
    <w:rsid w:val="005B47EB"/>
    <w:rsid w:val="005C75FA"/>
    <w:rsid w:val="005D7AFE"/>
    <w:rsid w:val="005E30BF"/>
    <w:rsid w:val="005E3279"/>
    <w:rsid w:val="00602DF5"/>
    <w:rsid w:val="0060656C"/>
    <w:rsid w:val="00607903"/>
    <w:rsid w:val="00610BF4"/>
    <w:rsid w:val="00633F2D"/>
    <w:rsid w:val="006345E4"/>
    <w:rsid w:val="00636EE6"/>
    <w:rsid w:val="00655495"/>
    <w:rsid w:val="00665D44"/>
    <w:rsid w:val="006770FA"/>
    <w:rsid w:val="006974BC"/>
    <w:rsid w:val="00697C24"/>
    <w:rsid w:val="006C45F8"/>
    <w:rsid w:val="006E2587"/>
    <w:rsid w:val="006E274F"/>
    <w:rsid w:val="006F1E62"/>
    <w:rsid w:val="00704524"/>
    <w:rsid w:val="00720E7B"/>
    <w:rsid w:val="007256B2"/>
    <w:rsid w:val="0073694E"/>
    <w:rsid w:val="00744506"/>
    <w:rsid w:val="00745CCE"/>
    <w:rsid w:val="00753BA2"/>
    <w:rsid w:val="00754339"/>
    <w:rsid w:val="00757DC1"/>
    <w:rsid w:val="0076199F"/>
    <w:rsid w:val="00762CF5"/>
    <w:rsid w:val="00774B94"/>
    <w:rsid w:val="00786346"/>
    <w:rsid w:val="00786B81"/>
    <w:rsid w:val="007A1E39"/>
    <w:rsid w:val="007A5713"/>
    <w:rsid w:val="007C6ECE"/>
    <w:rsid w:val="007E0FAB"/>
    <w:rsid w:val="007E249B"/>
    <w:rsid w:val="007E4C85"/>
    <w:rsid w:val="007F3076"/>
    <w:rsid w:val="008140A7"/>
    <w:rsid w:val="00823F1A"/>
    <w:rsid w:val="008450B2"/>
    <w:rsid w:val="00854C1E"/>
    <w:rsid w:val="00884C8E"/>
    <w:rsid w:val="008A1595"/>
    <w:rsid w:val="008A6F6C"/>
    <w:rsid w:val="008B08D9"/>
    <w:rsid w:val="008B5379"/>
    <w:rsid w:val="008C1B37"/>
    <w:rsid w:val="008D5EAE"/>
    <w:rsid w:val="008E0512"/>
    <w:rsid w:val="008E73C5"/>
    <w:rsid w:val="008F5163"/>
    <w:rsid w:val="0092535F"/>
    <w:rsid w:val="00925D20"/>
    <w:rsid w:val="00941535"/>
    <w:rsid w:val="009440D1"/>
    <w:rsid w:val="00950A1B"/>
    <w:rsid w:val="009559AF"/>
    <w:rsid w:val="00961FE9"/>
    <w:rsid w:val="00991790"/>
    <w:rsid w:val="009A3736"/>
    <w:rsid w:val="009C2CA4"/>
    <w:rsid w:val="009E14F0"/>
    <w:rsid w:val="009F2472"/>
    <w:rsid w:val="00A337B9"/>
    <w:rsid w:val="00A37387"/>
    <w:rsid w:val="00A52366"/>
    <w:rsid w:val="00A67343"/>
    <w:rsid w:val="00A7289F"/>
    <w:rsid w:val="00A75743"/>
    <w:rsid w:val="00AC1C82"/>
    <w:rsid w:val="00AD091B"/>
    <w:rsid w:val="00AD2767"/>
    <w:rsid w:val="00B007F9"/>
    <w:rsid w:val="00B23CAB"/>
    <w:rsid w:val="00B31370"/>
    <w:rsid w:val="00B36614"/>
    <w:rsid w:val="00B7640B"/>
    <w:rsid w:val="00B80772"/>
    <w:rsid w:val="00B80F23"/>
    <w:rsid w:val="00B84C70"/>
    <w:rsid w:val="00B951B8"/>
    <w:rsid w:val="00BA2752"/>
    <w:rsid w:val="00BB65FE"/>
    <w:rsid w:val="00BC2350"/>
    <w:rsid w:val="00BC7223"/>
    <w:rsid w:val="00BD0127"/>
    <w:rsid w:val="00BE6F2E"/>
    <w:rsid w:val="00C0524D"/>
    <w:rsid w:val="00C0600B"/>
    <w:rsid w:val="00C12494"/>
    <w:rsid w:val="00C141F0"/>
    <w:rsid w:val="00C202CC"/>
    <w:rsid w:val="00C33B7A"/>
    <w:rsid w:val="00C41909"/>
    <w:rsid w:val="00C736F4"/>
    <w:rsid w:val="00C90CA9"/>
    <w:rsid w:val="00C934AD"/>
    <w:rsid w:val="00CA3FB4"/>
    <w:rsid w:val="00CB1922"/>
    <w:rsid w:val="00CB6E09"/>
    <w:rsid w:val="00CC337E"/>
    <w:rsid w:val="00CE536C"/>
    <w:rsid w:val="00D03E84"/>
    <w:rsid w:val="00D2065A"/>
    <w:rsid w:val="00D40B79"/>
    <w:rsid w:val="00D540FA"/>
    <w:rsid w:val="00D55573"/>
    <w:rsid w:val="00D80E53"/>
    <w:rsid w:val="00D946C0"/>
    <w:rsid w:val="00DB1660"/>
    <w:rsid w:val="00DD0CF0"/>
    <w:rsid w:val="00DD28CD"/>
    <w:rsid w:val="00DE235D"/>
    <w:rsid w:val="00E05285"/>
    <w:rsid w:val="00E24725"/>
    <w:rsid w:val="00E3008C"/>
    <w:rsid w:val="00E36BC9"/>
    <w:rsid w:val="00E43224"/>
    <w:rsid w:val="00E5537F"/>
    <w:rsid w:val="00E6627D"/>
    <w:rsid w:val="00E721D5"/>
    <w:rsid w:val="00E755CC"/>
    <w:rsid w:val="00E839C0"/>
    <w:rsid w:val="00EA3D52"/>
    <w:rsid w:val="00EA3DD5"/>
    <w:rsid w:val="00EA4A8F"/>
    <w:rsid w:val="00EA7774"/>
    <w:rsid w:val="00EB425F"/>
    <w:rsid w:val="00EC4DAF"/>
    <w:rsid w:val="00ED6D95"/>
    <w:rsid w:val="00EE298D"/>
    <w:rsid w:val="00EF00DB"/>
    <w:rsid w:val="00F00B2F"/>
    <w:rsid w:val="00F1649D"/>
    <w:rsid w:val="00F5283B"/>
    <w:rsid w:val="00F5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FBC57"/>
  <w15:chartTrackingRefBased/>
  <w15:docId w15:val="{928A7B54-33E1-4E4F-8D84-C8A30017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43"/>
    <w:pPr>
      <w:ind w:left="720"/>
      <w:contextualSpacing/>
    </w:pPr>
  </w:style>
  <w:style w:type="character" w:styleId="CommentReference">
    <w:name w:val="annotation reference"/>
    <w:basedOn w:val="DefaultParagraphFont"/>
    <w:uiPriority w:val="99"/>
    <w:semiHidden/>
    <w:unhideWhenUsed/>
    <w:rsid w:val="006E274F"/>
    <w:rPr>
      <w:sz w:val="16"/>
      <w:szCs w:val="16"/>
    </w:rPr>
  </w:style>
  <w:style w:type="paragraph" w:styleId="CommentText">
    <w:name w:val="annotation text"/>
    <w:basedOn w:val="Normal"/>
    <w:link w:val="CommentTextChar"/>
    <w:uiPriority w:val="99"/>
    <w:semiHidden/>
    <w:unhideWhenUsed/>
    <w:rsid w:val="006E274F"/>
    <w:rPr>
      <w:sz w:val="20"/>
      <w:szCs w:val="20"/>
    </w:rPr>
  </w:style>
  <w:style w:type="character" w:customStyle="1" w:styleId="CommentTextChar">
    <w:name w:val="Comment Text Char"/>
    <w:basedOn w:val="DefaultParagraphFont"/>
    <w:link w:val="CommentText"/>
    <w:uiPriority w:val="99"/>
    <w:semiHidden/>
    <w:rsid w:val="006E274F"/>
    <w:rPr>
      <w:sz w:val="20"/>
      <w:szCs w:val="20"/>
    </w:rPr>
  </w:style>
  <w:style w:type="paragraph" w:styleId="CommentSubject">
    <w:name w:val="annotation subject"/>
    <w:basedOn w:val="CommentText"/>
    <w:next w:val="CommentText"/>
    <w:link w:val="CommentSubjectChar"/>
    <w:uiPriority w:val="99"/>
    <w:semiHidden/>
    <w:unhideWhenUsed/>
    <w:rsid w:val="006E274F"/>
    <w:rPr>
      <w:b/>
      <w:bCs/>
    </w:rPr>
  </w:style>
  <w:style w:type="character" w:customStyle="1" w:styleId="CommentSubjectChar">
    <w:name w:val="Comment Subject Char"/>
    <w:basedOn w:val="CommentTextChar"/>
    <w:link w:val="CommentSubject"/>
    <w:uiPriority w:val="99"/>
    <w:semiHidden/>
    <w:rsid w:val="006E274F"/>
    <w:rPr>
      <w:b/>
      <w:bCs/>
      <w:sz w:val="20"/>
      <w:szCs w:val="20"/>
    </w:rPr>
  </w:style>
  <w:style w:type="paragraph" w:styleId="BalloonText">
    <w:name w:val="Balloon Text"/>
    <w:basedOn w:val="Normal"/>
    <w:link w:val="BalloonTextChar"/>
    <w:uiPriority w:val="99"/>
    <w:semiHidden/>
    <w:unhideWhenUsed/>
    <w:rsid w:val="006E27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74F"/>
    <w:rPr>
      <w:rFonts w:ascii="Segoe UI" w:hAnsi="Segoe UI" w:cs="Segoe UI"/>
      <w:sz w:val="18"/>
      <w:szCs w:val="18"/>
    </w:rPr>
  </w:style>
  <w:style w:type="paragraph" w:styleId="Revision">
    <w:name w:val="Revision"/>
    <w:hidden/>
    <w:uiPriority w:val="99"/>
    <w:semiHidden/>
    <w:rsid w:val="00E6627D"/>
  </w:style>
  <w:style w:type="paragraph" w:customStyle="1" w:styleId="Default">
    <w:name w:val="Default"/>
    <w:rsid w:val="00004797"/>
    <w:pPr>
      <w:autoSpaceDE w:val="0"/>
      <w:autoSpaceDN w:val="0"/>
      <w:adjustRightInd w:val="0"/>
    </w:pPr>
    <w:rPr>
      <w:rFonts w:ascii="Symbol" w:hAnsi="Symbol" w:cs="Symbol"/>
      <w:color w:val="000000"/>
      <w:lang w:val="de-DE"/>
    </w:rPr>
  </w:style>
  <w:style w:type="paragraph" w:styleId="Header">
    <w:name w:val="header"/>
    <w:basedOn w:val="Normal"/>
    <w:link w:val="HeaderChar"/>
    <w:uiPriority w:val="99"/>
    <w:unhideWhenUsed/>
    <w:rsid w:val="009559AF"/>
    <w:pPr>
      <w:tabs>
        <w:tab w:val="center" w:pos="4513"/>
        <w:tab w:val="right" w:pos="9026"/>
      </w:tabs>
    </w:pPr>
  </w:style>
  <w:style w:type="character" w:customStyle="1" w:styleId="HeaderChar">
    <w:name w:val="Header Char"/>
    <w:basedOn w:val="DefaultParagraphFont"/>
    <w:link w:val="Header"/>
    <w:uiPriority w:val="99"/>
    <w:rsid w:val="009559AF"/>
  </w:style>
  <w:style w:type="paragraph" w:styleId="Footer">
    <w:name w:val="footer"/>
    <w:basedOn w:val="Normal"/>
    <w:link w:val="FooterChar"/>
    <w:uiPriority w:val="99"/>
    <w:unhideWhenUsed/>
    <w:rsid w:val="009559AF"/>
    <w:pPr>
      <w:tabs>
        <w:tab w:val="center" w:pos="4513"/>
        <w:tab w:val="right" w:pos="9026"/>
      </w:tabs>
    </w:pPr>
  </w:style>
  <w:style w:type="character" w:customStyle="1" w:styleId="FooterChar">
    <w:name w:val="Footer Char"/>
    <w:basedOn w:val="DefaultParagraphFont"/>
    <w:link w:val="Footer"/>
    <w:uiPriority w:val="99"/>
    <w:rsid w:val="009559AF"/>
  </w:style>
  <w:style w:type="table" w:styleId="TableGrid">
    <w:name w:val="Table Grid"/>
    <w:basedOn w:val="TableNormal"/>
    <w:uiPriority w:val="39"/>
    <w:rsid w:val="00762CF5"/>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399757">
      <w:bodyDiv w:val="1"/>
      <w:marLeft w:val="0"/>
      <w:marRight w:val="0"/>
      <w:marTop w:val="0"/>
      <w:marBottom w:val="0"/>
      <w:divBdr>
        <w:top w:val="none" w:sz="0" w:space="0" w:color="auto"/>
        <w:left w:val="none" w:sz="0" w:space="0" w:color="auto"/>
        <w:bottom w:val="none" w:sz="0" w:space="0" w:color="auto"/>
        <w:right w:val="none" w:sz="0" w:space="0" w:color="auto"/>
      </w:divBdr>
    </w:div>
    <w:div w:id="118313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93E15-C482-4AE8-80A7-582179D9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1092</Words>
  <Characters>6226</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Leiden University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J. Moné</dc:creator>
  <cp:keywords/>
  <dc:description/>
  <cp:lastModifiedBy>Elisabeth Graf</cp:lastModifiedBy>
  <cp:revision>87</cp:revision>
  <cp:lastPrinted>2019-04-01T08:01:00Z</cp:lastPrinted>
  <dcterms:created xsi:type="dcterms:W3CDTF">2019-05-13T13:48:00Z</dcterms:created>
  <dcterms:modified xsi:type="dcterms:W3CDTF">2019-05-17T10:21:00Z</dcterms:modified>
</cp:coreProperties>
</file>